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Tiffany Tang</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2022</w:t>
            </w:r>
          </w:p>
        </w:tc>
      </w:tr>
      <w:tr>
        <w:trPr/>
        <w:tc>
          <w:tcPr>
            <w:tcW w:w="1500" w:type="dxa"/>
          </w:tcPr>
          <w:p>
            <w:pPr/>
            <w:r>
              <w:rPr>
                <w:b w:val="1"/>
                <w:bCs w:val="1"/>
              </w:rPr>
              <w:t xml:space="preserve">Email</w:t>
            </w:r>
          </w:p>
        </w:tc>
        <w:tc>
          <w:tcPr>
            <w:tcW w:w="4500" w:type="dxa"/>
          </w:tcPr>
          <w:p>
            <w:pPr/>
            <w:r>
              <w:rPr/>
              <w:t xml:space="preserve">tkt@fountaincourt.co.uk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Tiffany Tang has a broad commercial practice across Chambers’ main areas, with particular experience in aviation, commercial and financial services disputes.</w:t>
      </w:r>
    </w:p>
    <w:p>
      <w:pPr/>
      <w:r>
        <w:rPr/>
        <w:t xml:space="preserve">Tiffany is currently acting in various substantial civil fraud proceedings brought by listed and private companies against their former directors and shareholders. She recently acted in the Ukrainian Aircraft Operator Policy Claims [2024] EWHC 1365 (Comm) arising out of the war in Ukraine, which raised complicated jurisdictional issues. Tiffany has also acted and advised in a wide range of commercial and regulatory disputes, both as part of a counsel team and as sole counsel.</w:t>
      </w:r>
    </w:p>
    <w:p>
      <w:pPr/>
      <w:r>
        <w:rPr/>
        <w:t xml:space="preserve">Before coming to the Bar, Tiffany studied law at Magdalene College, Cambridge and the BCL at Magdalen College, Oxford (winning </w:t>
      </w:r>
      <w:r>
        <w:rPr>
          <w:i w:val="1"/>
          <w:iCs w:val="1"/>
        </w:rPr>
        <w:t xml:space="preserve">Proxime Accessit</w:t>
      </w:r>
      <w:r>
        <w:rPr/>
        <w:t xml:space="preserve"> to the Vinerian Scholarship for placing 2nd in her year, and university prizes in corporate insolvency law and international dispute settlement). She was also awarded the Eldon Law Scholarship.</w:t>
      </w:r>
    </w:p>
    <w:p/>
    <w:p>
      <w:pPr>
        <w:pStyle w:val="Heading2"/>
      </w:pPr>
      <w:bookmarkStart w:id="3" w:name="_Toc3"/>
      <w:r>
        <w:t>Recent Highlights</w:t>
      </w:r>
      <w:bookmarkEnd w:id="3"/>
    </w:p>
    <w:p>
      <w:pPr/>
      <w:r>
        <w:rPr>
          <w:b w:val="1"/>
          <w:bCs w:val="1"/>
        </w:rPr>
        <w:t xml:space="preserve">Ukrainian Aircraft Operator Policy Claims [2024] EWHC 1365 (Comm)</w:t>
      </w:r>
    </w:p>
    <w:p>
      <w:pPr/>
      <w:r>
        <w:rPr/>
        <w:t xml:space="preserve">Acting (led by Derrick Dale KC and Christopher Langley) for various owners / operators of Ukrainian aircraft in multi-million dollar claims against All Risks and War Risks insurers in respect of aircraft stranded in Ukraine following the Russian invasion. The claims were the subject of a three-day jurisdiction challenge in the Commercial Court.</w:t>
      </w:r>
    </w:p>
    <w:p/>
    <w:p>
      <w:pPr/>
      <w:r>
        <w:rPr>
          <w:b w:val="1"/>
          <w:bCs w:val="1"/>
        </w:rPr>
        <w:t xml:space="preserve">ThisCompany Ltd &amp; Ors v Welsh &amp; Ors</w:t>
      </w:r>
    </w:p>
    <w:p>
      <w:pPr/>
      <w:r>
        <w:rPr/>
        <w:t xml:space="preserve">Acting (led by Craig Ulyatt) for the claimants and Part 20 defendants in a claim involving allegations of misappropriation of company funds and corporate mismanagement, against (amongst others) a former director and former shareholder of the claimant company. The claimants and Part 20 defendants successfully obtained summary judgment on part of the claim, and the majority of the Part 20 claim, in March 2025.</w:t>
      </w:r>
    </w:p>
    <w:p/>
    <w:p>
      <w:pPr/>
      <w:r>
        <w:rPr>
          <w:b w:val="1"/>
          <w:bCs w:val="1"/>
        </w:rPr>
        <w:t xml:space="preserve">Big Technologies PLC &amp; Buddi Limited v Murray &amp; Ors</w:t>
      </w:r>
    </w:p>
    <w:p>
      <w:pPr/>
      <w:r>
        <w:rPr/>
        <w:t xml:space="preserve">Acting (led by Neil Kitchener KC and Alex Barden KC) for an AIM-listed company (Big) and its operating subsidiary in proceedings against their former CEO and current shareholders. The claimants allege that (amongst other things) their former CEO concealed her interest in offshore entities that are shareholders of Big and that she diverted funds from the claimants. The claimants applied for freezing injunctions in March 2025, following which the relevant defendants agreed to provide freezing undertakings. The claim is currently valued at £320 million and has been widely reported in the press.</w:t>
      </w:r>
    </w:p>
    <w:p/>
    <w:p>
      <w:pPr/>
      <w:r>
        <w:rPr>
          <w:b w:val="1"/>
          <w:bCs w:val="1"/>
        </w:rPr>
        <w:t xml:space="preserve">Air Europa Líneas Aéreas, S.A.U. v BOC Aviation Limited</w:t>
      </w:r>
    </w:p>
    <w:p>
      <w:pPr/>
      <w:r>
        <w:rPr/>
        <w:t xml:space="preserve">Acting (led by Rosalind Phelps KC and Rupert Allen KC) for the defendant in a high value claim in relation to the purchase, lease and financing of aircraft. The claim involves issues as to alleged total failure of basis in the context of commercial contracts.</w:t>
      </w:r>
    </w:p>
    <w:p/>
    <w:p>
      <w:pPr/>
      <w:r>
        <w:rPr>
          <w:b w:val="1"/>
          <w:bCs w:val="1"/>
        </w:rPr>
        <w:t xml:space="preserve">Casamance Owner S.A R.L. &amp; Anor v Air Senegal S.A. </w:t>
      </w:r>
    </w:p>
    <w:p>
      <w:pPr/>
      <w:r>
        <w:rPr/>
        <w:t xml:space="preserve">Acting (led by Akhil Shah KC) for the claimants (the lessor and security trustee) in claims (including under the Cape Town Convention) against the lessee airline (Air Senegal) for delivery up of two Airbus A330-941neo aircraft. The claimants successfully obtained an interim order for delivery up of one of the aircraft in August 2025. </w:t>
      </w:r>
    </w:p>
    <w:p/>
    <w:p>
      <w:pPr>
        <w:pStyle w:val="Heading2"/>
      </w:pPr>
      <w:bookmarkStart w:id="4" w:name="_Toc4"/>
      <w:r>
        <w:t>Expertise</w:t>
      </w:r>
      <w:bookmarkEnd w:id="4"/>
    </w:p>
    <w:p/>
    <w:p>
      <w:pPr>
        <w:pStyle w:val="Heading3"/>
      </w:pPr>
      <w:bookmarkStart w:id="5" w:name="_Toc5"/>
      <w:r>
        <w:t>Aviation &amp; Travel</w:t>
      </w:r>
      <w:bookmarkEnd w:id="5"/>
    </w:p>
    <w:p/>
    <w:p>
      <w:pPr>
        <w:pStyle w:val="Heading4"/>
      </w:pPr>
      <w:bookmarkStart w:id="6" w:name="_Toc6"/>
      <w:r>
        <w:t>Notable cases</w:t>
      </w:r>
      <w:bookmarkEnd w:id="6"/>
    </w:p>
    <w:p>
      <w:pPr/>
      <w:r>
        <w:rPr>
          <w:b w:val="1"/>
          <w:bCs w:val="1"/>
        </w:rPr>
        <w:t xml:space="preserve">Ukrainian Aircraft Operator Policy Claims [2024] EWHC 1365 (Comm)</w:t>
      </w:r>
    </w:p>
    <w:p>
      <w:pPr/>
      <w:r>
        <w:rPr/>
        <w:t xml:space="preserve">Acting (led by Derrick Dale KC and Christopher Langley) for various owners / operators of Ukrainian aircraft in multi-million dollar claims against All Risks and War Risks insurers in respect of aircraft stranded in Ukraine following the Russian invasion. The claims were the subject of a three-day jurisdiction challenge in the Commercial Court, and raised issues of foreign law in the context of jurisdiction clauses in reinsurance contracts.</w:t>
      </w:r>
    </w:p>
    <w:p/>
    <w:p>
      <w:pPr/>
      <w:r>
        <w:rPr>
          <w:b w:val="1"/>
          <w:bCs w:val="1"/>
        </w:rPr>
        <w:t xml:space="preserve">Air Europa Líneas Aéreas, S.A.U. v BOC Aviation Limited</w:t>
      </w:r>
    </w:p>
    <w:p>
      <w:pPr/>
      <w:r>
        <w:rPr/>
        <w:t xml:space="preserve">Acting (led by Rosalind Phelps KC and Rupert Allen KC) for the defendant in a high value claim in relation to the purchase, lease and financing of aircraft. The claim involves issues as to alleged total failure of basis in the context of commercial contracts.</w:t>
      </w:r>
    </w:p>
    <w:p/>
    <w:p>
      <w:pPr/>
      <w:r>
        <w:rPr>
          <w:b w:val="1"/>
          <w:bCs w:val="1"/>
        </w:rPr>
        <w:t xml:space="preserve">Casamance Owner S.A R.L. &amp; Anor v Air Senegal S.A.</w:t>
      </w:r>
    </w:p>
    <w:p>
      <w:pPr/>
      <w:r>
        <w:rPr/>
        <w:t xml:space="preserve">Acting (led by Akhil Shah KC) for the claimants (the lessor and security trustee) in claims (including under the Cape Town Convention) against the lessee airline (Air Senegal) for delivery up of two Airbus A330-941neo aircraft. The claimants successfully obtained an interim order for delivery up of one of the aircraft in August 2025. </w:t>
      </w:r>
    </w:p>
    <w:p/>
    <w:p>
      <w:pPr/>
      <w:r>
        <w:rPr>
          <w:b w:val="1"/>
          <w:bCs w:val="1"/>
        </w:rPr>
        <w:t xml:space="preserve">SIA Smartlynx Airlines v STLC Europe Five Leasing Ltd</w:t>
      </w:r>
    </w:p>
    <w:p>
      <w:pPr/>
      <w:r>
        <w:rPr/>
        <w:t xml:space="preserve">Acting (led by Akhil Shah KC and Samuel Ritchie) for the lessor (a subsidiary of the GTLK group of companies) in a substantial claim relating to the alleged termination and/or frustration of aircraft leases. The claim involves issues arising from the imposition of international sanctions.</w:t>
      </w:r>
    </w:p>
    <w:p/>
    <w:p>
      <w:pPr/>
      <w:r>
        <w:rPr>
          <w:b w:val="1"/>
          <w:bCs w:val="1"/>
        </w:rPr>
        <w:t xml:space="preserve">Slot Regulation advice</w:t>
      </w:r>
    </w:p>
    <w:p>
      <w:pPr/>
      <w:r>
        <w:rPr/>
        <w:t xml:space="preserve">Advising an NGO on the interpretation and effect of the EU Slot Regulation.</w:t>
      </w:r>
    </w:p>
    <w:p/>
    <w:p>
      <w:pPr/>
      <w:r>
        <w:rPr>
          <w:b w:val="1"/>
          <w:bCs w:val="1"/>
        </w:rPr>
        <w:t xml:space="preserve">Confidential</w:t>
      </w:r>
    </w:p>
    <w:p>
      <w:pPr/>
      <w:r>
        <w:rPr/>
        <w:t xml:space="preserve">Advising (led by Akhil Shah KC) an airline in relation to rights and obligations under a joint venture.</w:t>
      </w:r>
    </w:p>
    <w:p/>
    <w:p>
      <w:pPr/>
      <w:r>
        <w:rPr>
          <w:b w:val="1"/>
          <w:bCs w:val="1"/>
        </w:rPr>
        <w:t xml:space="preserve">Sale and purchase dispute</w:t>
      </w:r>
    </w:p>
    <w:p>
      <w:pPr/>
      <w:r>
        <w:rPr/>
        <w:t xml:space="preserve">Acting (led by Akhil Shah KC) for the defendant in a claim arising out of the sale and purchase of an aircraft engine.</w:t>
      </w:r>
    </w:p>
    <w:p/>
    <w:p>
      <w:pPr/>
      <w:r>
        <w:rPr>
          <w:b w:val="1"/>
          <w:bCs w:val="1"/>
        </w:rPr>
        <w:t xml:space="preserve">Aircraft delivery claim</w:t>
      </w:r>
    </w:p>
    <w:p>
      <w:pPr/>
      <w:r>
        <w:rPr/>
        <w:t xml:space="preserve">Acting (as sole counsel) in a claim relating to the delivery of commercial aircraft.</w:t>
      </w:r>
    </w:p>
    <w:p/>
    <w:p>
      <w:pPr/>
      <w:r>
        <w:rPr/>
        <w:t xml:space="preserve">Assisting (during pupillage) with research in litigation in relation to the liability of an insurance broker following an aviation accident.</w:t>
      </w:r>
    </w:p>
    <w:p/>
    <w:p>
      <w:pPr>
        <w:pStyle w:val="Heading3"/>
      </w:pPr>
      <w:bookmarkStart w:id="7" w:name="_Toc7"/>
      <w:r>
        <w:t>Banking &amp; Finance</w:t>
      </w:r>
      <w:bookmarkEnd w:id="7"/>
    </w:p>
    <w:p/>
    <w:p>
      <w:pPr>
        <w:pStyle w:val="Heading4"/>
      </w:pPr>
      <w:bookmarkStart w:id="8" w:name="_Toc8"/>
      <w:r>
        <w:t>Notable cases</w:t>
      </w:r>
      <w:bookmarkEnd w:id="8"/>
    </w:p>
    <w:p>
      <w:pPr/>
      <w:r>
        <w:rPr>
          <w:b w:val="1"/>
          <w:bCs w:val="1"/>
        </w:rPr>
        <w:t xml:space="preserve">Offshore banking claim</w:t>
      </w:r>
    </w:p>
    <w:p>
      <w:pPr/>
      <w:r>
        <w:rPr/>
        <w:t xml:space="preserve">Acting (led by Jeffrey Chapman KC) for a bank in an offshore dispute involving multi-million dollar claims for debt and for rectification of a charge in favour of the bank.</w:t>
      </w:r>
    </w:p>
    <w:p/>
    <w:p>
      <w:pPr/>
      <w:r>
        <w:rPr>
          <w:b w:val="1"/>
          <w:bCs w:val="1"/>
        </w:rPr>
        <w:t xml:space="preserve">Air Europa Líneas Aéreas, S.A.U. v BOC Aviation Limited</w:t>
      </w:r>
    </w:p>
    <w:p>
      <w:pPr/>
      <w:r>
        <w:rPr/>
        <w:t xml:space="preserve">Acting (led by Rosalind Phelps KC and Rupert Allen KC) for the defendant in a high value claim in relation to the purchase, lease and financing of aircraft. The claim involves issues as to alleged total failure of basis in the context of commercial contracts.</w:t>
      </w:r>
    </w:p>
    <w:p/>
    <w:p>
      <w:pPr/>
      <w:r>
        <w:rPr>
          <w:b w:val="1"/>
          <w:bCs w:val="1"/>
        </w:rPr>
        <w:t xml:space="preserve">Norwich Pharmacal application</w:t>
      </w:r>
    </w:p>
    <w:p>
      <w:pPr/>
      <w:r>
        <w:rPr/>
        <w:t xml:space="preserve">Acting (as sole counsel) for the successful claimants in a Part 8 claim for a </w:t>
      </w:r>
      <w:r>
        <w:rPr>
          <w:i w:val="1"/>
          <w:iCs w:val="1"/>
        </w:rPr>
        <w:t xml:space="preserve">Norwich Pharmacal </w:t>
      </w:r>
      <w:r>
        <w:rPr/>
        <w:t xml:space="preserve">and/or </w:t>
      </w:r>
      <w:r>
        <w:rPr>
          <w:i w:val="1"/>
          <w:iCs w:val="1"/>
        </w:rPr>
        <w:t xml:space="preserve">Bankers Trust </w:t>
      </w:r>
      <w:r>
        <w:rPr/>
        <w:t xml:space="preserve">order against a bank.  The claimants also obtained an interim non-disclosure order.</w:t>
      </w:r>
    </w:p>
    <w:p/>
    <w:p>
      <w:pPr>
        <w:pStyle w:val="Heading3"/>
      </w:pPr>
      <w:bookmarkStart w:id="9" w:name="_Toc9"/>
      <w:r>
        <w:t>Civil Fraud</w:t>
      </w:r>
      <w:bookmarkEnd w:id="9"/>
    </w:p>
    <w:p/>
    <w:p>
      <w:pPr>
        <w:pStyle w:val="Heading4"/>
      </w:pPr>
      <w:bookmarkStart w:id="10" w:name="_Toc10"/>
      <w:r>
        <w:t>Notable cases</w:t>
      </w:r>
      <w:bookmarkEnd w:id="10"/>
    </w:p>
    <w:p>
      <w:pPr/>
      <w:r>
        <w:rPr>
          <w:b w:val="1"/>
          <w:bCs w:val="1"/>
        </w:rPr>
        <w:t xml:space="preserve">Big Technologies PLC &amp; Buddi Limited v Murray &amp; Ors</w:t>
      </w:r>
    </w:p>
    <w:p>
      <w:pPr/>
      <w:r>
        <w:rPr/>
        <w:t xml:space="preserve">Acting (led by Neil Kitchener KC and Alex Barden KC) for an AIM-listed company (Big) and its operating subsidiary in proceedings against their former CEO and current shareholders. The claimants allege that (amongst other things) their former CEO concealed her interest in offshore entities that are shareholders of Big and that she diverted funds from the claimants. The claimants applied for freezing injunctions in March 2025, following which the relevant defendants agreed to provide freezing undertakings. The claim is currently valued at £320 million and has been widely reported in the press.</w:t>
      </w:r>
    </w:p>
    <w:p/>
    <w:p>
      <w:pPr/>
      <w:r>
        <w:rPr>
          <w:b w:val="1"/>
          <w:bCs w:val="1"/>
        </w:rPr>
        <w:t xml:space="preserve">ThisCompany Ltd &amp; Ors v Welsh &amp; Ors</w:t>
      </w:r>
    </w:p>
    <w:p>
      <w:pPr/>
      <w:r>
        <w:rPr/>
        <w:t xml:space="preserve">Acting (led by Craig Ulyatt) for the claimants and Part 20 defendants in a claim involving allegations of misappropriation of company funds and corporate mismanagement, against (amongst others) a former director and former shareholder of the claimant company. The claimants and Part 20 defendants successfully obtained summary judgment on part of the claim, and the majority of the Part 20 claim, in March 2025.</w:t>
      </w:r>
    </w:p>
    <w:p/>
    <w:p>
      <w:pPr>
        <w:pStyle w:val="Heading3"/>
      </w:pPr>
      <w:bookmarkStart w:id="11" w:name="_Toc11"/>
      <w:r>
        <w:t>Commercial Disputes</w:t>
      </w:r>
      <w:bookmarkEnd w:id="11"/>
    </w:p>
    <w:p>
      <w:pPr/>
      <w:r>
        <w:rPr/>
        <w:t xml:space="preserve">Tiffany has experience of acting in a wide range of commercial disputes.  In addition to being part of a counsel team, she has acted and advised as sole counsel in various claims and potential claims in the High Court and County Court, including in aviation cases, banking litigation, professional negligence claims and general contractual disputes.</w:t>
      </w:r>
    </w:p>
    <w:p/>
    <w:p>
      <w:pPr>
        <w:pStyle w:val="Heading4"/>
      </w:pPr>
      <w:bookmarkStart w:id="12" w:name="_Toc12"/>
      <w:r>
        <w:t>Notable cases</w:t>
      </w:r>
      <w:bookmarkEnd w:id="12"/>
    </w:p>
    <w:p>
      <w:pPr/>
      <w:r>
        <w:rPr>
          <w:b w:val="1"/>
          <w:bCs w:val="1"/>
        </w:rPr>
        <w:t xml:space="preserve">Big Technologies PLC &amp; Buddi Limited v Murray &amp; Ors</w:t>
      </w:r>
    </w:p>
    <w:p>
      <w:pPr/>
      <w:r>
        <w:rPr/>
        <w:t xml:space="preserve">Acting (led by Neil Kitchener KC and Alex Barden KC) for an AIM-listed company (Big) and its operating subsidiary in proceedings against their former CEO and current shareholders. The claimants allege that (amongst other things) their former CEO concealed her interest in offshore entities that are shareholders of Big and that she diverted funds from the claimants. The claimants applied for freezing injunctions in March 2025, following which the relevant defendants agreed to provide freezing undertakings. The claim is currently valued at £320 million and has been widely reported in the press.</w:t>
      </w:r>
    </w:p>
    <w:p/>
    <w:p>
      <w:pPr/>
      <w:r>
        <w:rPr>
          <w:b w:val="1"/>
          <w:bCs w:val="1"/>
        </w:rPr>
        <w:t xml:space="preserve">ThisCompany Ltd &amp; Ors v Welsh &amp; Ors</w:t>
      </w:r>
    </w:p>
    <w:p>
      <w:pPr/>
      <w:r>
        <w:rPr/>
        <w:t xml:space="preserve">Acting (led by Craig Ulyatt) for the claimants and Part 20 defendants in a claim involving allegations of misappropriation of company funds and corporate mismanagement, against (amongst others) a former director and former shareholder of the claimant company. The claimants and Part 20 defendants successfully obtained summary judgment on part of the claim, and the majority of the Part 20 claim, in March 2025.</w:t>
      </w:r>
    </w:p>
    <w:p/>
    <w:p>
      <w:pPr/>
      <w:r>
        <w:rPr>
          <w:b w:val="1"/>
          <w:bCs w:val="1"/>
        </w:rPr>
        <w:t xml:space="preserve">Casamance Owner S.A R.L. &amp; Anor v Air Senegal S.A.</w:t>
      </w:r>
    </w:p>
    <w:p>
      <w:pPr/>
      <w:r>
        <w:rPr/>
        <w:t xml:space="preserve">Acting (led by Akhil Shah KC) for the claimants (the lessor and security trustee) in claims (including under the Cape Town Convention) against the lessee airline (Air Senegal) for delivery up of two Airbus A330-941neo aircraft. The claimants successfully obtained an interim order for delivery up of one of the aircraft in August 2025. </w:t>
      </w:r>
    </w:p>
    <w:p/>
    <w:p>
      <w:pPr/>
      <w:r>
        <w:rPr>
          <w:b w:val="1"/>
          <w:bCs w:val="1"/>
        </w:rPr>
        <w:t xml:space="preserve">Air Europa Líneas Aéreas, S.A.U. v BOC Aviation Limited</w:t>
      </w:r>
    </w:p>
    <w:p>
      <w:pPr/>
      <w:r>
        <w:rPr/>
        <w:t xml:space="preserve">Acting (led by Rosalind Phelps KC and Rupert Allen KC) for the defendant in a high value claim in relation to the purchase, lease and financing of aircraft. The claim involves issues as to alleged total failure of basis in the context of commercial contracts.</w:t>
      </w:r>
    </w:p>
    <w:p/>
    <w:p>
      <w:pPr/>
      <w:r>
        <w:rPr>
          <w:b w:val="1"/>
          <w:bCs w:val="1"/>
        </w:rPr>
        <w:t xml:space="preserve">Ukrainian Aircraft Operator Policy Claims [2024] EWHC 1365 (Comm)</w:t>
      </w:r>
    </w:p>
    <w:p>
      <w:pPr/>
      <w:r>
        <w:rPr/>
        <w:t xml:space="preserve">Acting (led by Derrick Dale KC and Christopher Langley) for various owners / operators of Ukrainian aircraft in multi-million dollar claims against All Risks and War Risks insurers in respect of aircraft stranded in Ukraine following the Russian invasion. The claims were the subject of a three-day jurisdiction challenge in the Commercial Court, and raised issues of foreign law in the context of jurisdiction clauses in reinsurance contracts.</w:t>
      </w:r>
    </w:p>
    <w:p/>
    <w:p>
      <w:pPr/>
      <w:r>
        <w:rPr>
          <w:b w:val="1"/>
          <w:bCs w:val="1"/>
        </w:rPr>
        <w:t xml:space="preserve">Lufthansa Technik AG v Astronics Advanced Electronic Systems &amp; Ors [2023] EWHC 2547 (Pat)</w:t>
      </w:r>
    </w:p>
    <w:p>
      <w:pPr/>
      <w:r>
        <w:rPr/>
        <w:t xml:space="preserve">Acting (led by John Taylor KC and Miles Copeland) for the successful respondents in an application under CPR 40.12 and/or 3.1(7) for variation of the trial order. The judgment involved consideration of the applicable test for an application to vary a court order where the alleged basis is a mistake in the drawing up the order.</w:t>
      </w:r>
    </w:p>
    <w:p/>
    <w:p>
      <w:pPr>
        <w:pStyle w:val="Heading3"/>
      </w:pPr>
      <w:bookmarkStart w:id="13" w:name="_Toc13"/>
      <w:r>
        <w:t>Company, Restructuring &amp; Insolvency</w:t>
      </w:r>
      <w:bookmarkEnd w:id="13"/>
    </w:p>
    <w:p/>
    <w:p>
      <w:pPr>
        <w:pStyle w:val="Heading4"/>
      </w:pPr>
      <w:bookmarkStart w:id="14" w:name="_Toc14"/>
      <w:r>
        <w:t>Notable cases</w:t>
      </w:r>
      <w:bookmarkEnd w:id="14"/>
    </w:p>
    <w:p>
      <w:pPr/>
      <w:r>
        <w:rPr>
          <w:b w:val="1"/>
          <w:bCs w:val="1"/>
        </w:rPr>
        <w:t xml:space="preserve">Big Technologies PLC &amp; Buddi Limited v Murray &amp; Ors</w:t>
      </w:r>
    </w:p>
    <w:p>
      <w:pPr/>
      <w:r>
        <w:rPr/>
        <w:t xml:space="preserve">Acting (led by Neil Kitchener KC and Alex Barden KC) for an AIM-listed company (Big) and its operating subsidiary in proceedings against their former CEO and current shareholders. The claimants allege that (amongst other things) their former CEO concealed her interest in offshore entities that are shareholders of Big and that she diverted funds from the claimants. The claimants applied for freezing injunctions in March 2025, following which the relevant defendants agreed to provide freezing undertakings. The claim is currently valued at £320 million and has been widely reported in the press.</w:t>
      </w:r>
    </w:p>
    <w:p/>
    <w:p>
      <w:pPr/>
      <w:r>
        <w:rPr>
          <w:b w:val="1"/>
          <w:bCs w:val="1"/>
        </w:rPr>
        <w:t xml:space="preserve">ThisCompany Ltd &amp; Ors v Welsh &amp; Ors</w:t>
      </w:r>
    </w:p>
    <w:p>
      <w:pPr/>
      <w:r>
        <w:rPr/>
        <w:t xml:space="preserve">Acting (led by Craig Ulyatt) for the claimants and Part 20 defendants in a claim involving allegations of misappropriation of company funds and corporate mismanagement, against (amongst others) a former director and former shareholder of the claimant company. The claimants and Part 20 defendants successfully obtained summary judgment on part of the claim, and the majority of the Part 20 claim, in March 2025.</w:t>
      </w:r>
    </w:p>
    <w:p/>
    <w:p>
      <w:pPr>
        <w:pStyle w:val="Heading3"/>
      </w:pPr>
      <w:bookmarkStart w:id="15" w:name="_Toc15"/>
      <w:r>
        <w:t>Financial Services</w:t>
      </w:r>
      <w:bookmarkEnd w:id="15"/>
    </w:p>
    <w:p/>
    <w:p>
      <w:pPr>
        <w:pStyle w:val="Heading4"/>
      </w:pPr>
      <w:bookmarkStart w:id="16" w:name="_Toc16"/>
      <w:r>
        <w:t>Notable cases</w:t>
      </w:r>
      <w:bookmarkEnd w:id="16"/>
    </w:p>
    <w:p>
      <w:pPr/>
      <w:r>
        <w:rPr>
          <w:b w:val="1"/>
          <w:bCs w:val="1"/>
        </w:rPr>
        <w:t xml:space="preserve">FRC investigation</w:t>
      </w:r>
    </w:p>
    <w:p>
      <w:pPr/>
      <w:r>
        <w:rPr/>
        <w:t xml:space="preserve">Advising (led by Rupert Allen KC) on a confidential disciplinary investigation by the FRC against an auditor.</w:t>
      </w:r>
    </w:p>
    <w:p/>
    <w:p>
      <w:pPr/>
      <w:r>
        <w:rPr>
          <w:b w:val="1"/>
          <w:bCs w:val="1"/>
        </w:rPr>
        <w:t xml:space="preserve">FCA investigations and proceedings</w:t>
      </w:r>
    </w:p>
    <w:p>
      <w:pPr/>
      <w:r>
        <w:rPr/>
        <w:t xml:space="preserve">Acting and advising in investigations and proceedings by the FCA, including assisting (led by Ben Jaffey KC and Eleanor Davison) with Upper Tribunal proceedings disputing the FCA’s decision on an alleged breach of the Listing Rules.</w:t>
      </w:r>
    </w:p>
    <w:p/>
    <w:p>
      <w:pPr>
        <w:pStyle w:val="Heading3"/>
      </w:pPr>
      <w:bookmarkStart w:id="17" w:name="_Toc17"/>
      <w:r>
        <w:t>Insurance &amp;amp; Reinsurance</w:t>
      </w:r>
      <w:bookmarkEnd w:id="17"/>
    </w:p>
    <w:p/>
    <w:p>
      <w:pPr>
        <w:pStyle w:val="Heading4"/>
      </w:pPr>
      <w:bookmarkStart w:id="18" w:name="_Toc18"/>
      <w:r>
        <w:t>Notable cases</w:t>
      </w:r>
      <w:bookmarkEnd w:id="18"/>
    </w:p>
    <w:p>
      <w:pPr/>
      <w:r>
        <w:rPr>
          <w:b w:val="1"/>
          <w:bCs w:val="1"/>
        </w:rPr>
        <w:t xml:space="preserve">Ukrainian Aircraft Operator Policy Claims [2024] EWHC 1365 (Comm)</w:t>
      </w:r>
    </w:p>
    <w:p>
      <w:pPr/>
      <w:r>
        <w:rPr/>
        <w:t xml:space="preserve">Acting (led by Derrick Dale KC and Christopher Langley) for various owners / operators of Ukrainian aircraft in multi-million dollar claims against All Risks and War Risks insurers in respect of aircraft stranded in Ukraine following the Russian invasion. The claims were the subject of a three-day jurisdiction challenge in the Commercial Court, and raised issues of foreign law in the context of jurisdiction clauses in reinsurance contracts.</w:t>
      </w:r>
    </w:p>
    <w:p/>
    <w:p>
      <w:pPr>
        <w:pStyle w:val="Heading3"/>
      </w:pPr>
      <w:bookmarkStart w:id="19" w:name="_Toc19"/>
      <w:r>
        <w:t>International Arbitration</w:t>
      </w:r>
      <w:bookmarkEnd w:id="19"/>
    </w:p>
    <w:p/>
    <w:p>
      <w:pPr>
        <w:pStyle w:val="Heading4"/>
      </w:pPr>
      <w:bookmarkStart w:id="20" w:name="_Toc20"/>
      <w:r>
        <w:t>Notable cases</w:t>
      </w:r>
      <w:bookmarkEnd w:id="20"/>
    </w:p>
    <w:p>
      <w:pPr/>
      <w:r>
        <w:rPr/>
        <w:t xml:space="preserve">Acting (led by Daniel Toledano KC and Simon Atrill KC) in a high-value ICC arbitration relating to alleged breaches of a Share Purchase Agreement. </w:t>
      </w:r>
    </w:p>
    <w:p/>
    <w:p>
      <w:pPr>
        <w:pStyle w:val="Heading3"/>
      </w:pPr>
      <w:bookmarkStart w:id="21" w:name="_Toc21"/>
      <w:r>
        <w:t>Professional Discipline</w:t>
      </w:r>
      <w:bookmarkEnd w:id="21"/>
    </w:p>
    <w:p/>
    <w:p>
      <w:pPr>
        <w:pStyle w:val="Heading4"/>
      </w:pPr>
      <w:bookmarkStart w:id="22" w:name="_Toc22"/>
      <w:r>
        <w:t>Notable cases</w:t>
      </w:r>
      <w:bookmarkEnd w:id="22"/>
    </w:p>
    <w:p>
      <w:pPr/>
      <w:r>
        <w:rPr>
          <w:b w:val="1"/>
          <w:bCs w:val="1"/>
        </w:rPr>
        <w:t xml:space="preserve">FRC investigation</w:t>
      </w:r>
    </w:p>
    <w:p>
      <w:pPr/>
      <w:r>
        <w:rPr/>
        <w:t xml:space="preserve">Advising (led by Rupert Allen KC) on a confidential disciplinary investigation by the FRC against an auditor.</w:t>
      </w:r>
    </w:p>
    <w:p/>
    <w:p>
      <w:pPr/>
      <w:r>
        <w:rPr>
          <w:b w:val="1"/>
          <w:bCs w:val="1"/>
        </w:rPr>
        <w:t xml:space="preserve">FCA investigations and proceedings</w:t>
      </w:r>
    </w:p>
    <w:p>
      <w:pPr/>
      <w:r>
        <w:rPr/>
        <w:t xml:space="preserve">Acting and advising in investigations and proceedings by the FCA, including assisting (led by Ben Jaffey KC and Eleanor Davison) with Upper Tribunal proceedings disputing the FCA’s decision on an alleged breach of the Listing Rules.</w:t>
      </w:r>
    </w:p>
    <w:p/>
    <w:p>
      <w:pPr/>
      <w:r>
        <w:rPr>
          <w:b w:val="1"/>
          <w:bCs w:val="1"/>
        </w:rPr>
        <w:t xml:space="preserve"> Advising on football disciplinary procedures</w:t>
      </w:r>
    </w:p>
    <w:p>
      <w:pPr/>
      <w:r>
        <w:rPr/>
        <w:t xml:space="preserve">Advising (led by John Mehrzad KC and Nick Daly) a national football association on updating its rules and disciplinary procedures. </w:t>
      </w:r>
    </w:p>
    <w:p/>
    <w:p>
      <w:pPr>
        <w:pStyle w:val="Heading2"/>
      </w:pPr>
      <w:bookmarkStart w:id="23" w:name="_Toc23"/>
      <w:r>
        <w:t>Education</w:t>
      </w:r>
      <w:bookmarkEnd w:id="23"/>
    </w:p>
    <w:p>
      <w:pPr>
        <w:numPr>
          <w:ilvl w:val="0"/>
          <w:numId w:val="7"/>
        </w:numPr>
      </w:pPr>
      <w:r>
        <w:rPr/>
        <w:t xml:space="preserve">BVS (Distinction), City Law School</w:t>
      </w:r>
    </w:p>
    <w:p>
      <w:pPr>
        <w:numPr>
          <w:ilvl w:val="0"/>
          <w:numId w:val="7"/>
        </w:numPr>
      </w:pPr>
      <w:r>
        <w:rPr/>
        <w:t xml:space="preserve">BCL (Distinction), Magdalen College, Oxford</w:t>
      </w:r>
    </w:p>
    <w:p>
      <w:pPr>
        <w:numPr>
          <w:ilvl w:val="0"/>
          <w:numId w:val="7"/>
        </w:numPr>
      </w:pPr>
      <w:r>
        <w:rPr/>
        <w:t xml:space="preserve">BA (Law) (Double First), Magdalene College, Cambridge</w:t>
      </w:r>
    </w:p>
    <w:p/>
    <w:p>
      <w:pPr>
        <w:pStyle w:val="Heading2"/>
      </w:pPr>
      <w:bookmarkStart w:id="24" w:name="_Toc24"/>
      <w:r>
        <w:t>Appointments, Memberships and Prizes</w:t>
      </w:r>
      <w:bookmarkEnd w:id="24"/>
    </w:p>
    <w:p>
      <w:pPr>
        <w:numPr>
          <w:ilvl w:val="0"/>
          <w:numId w:val="8"/>
        </w:numPr>
      </w:pPr>
      <w:r>
        <w:rPr/>
        <w:t xml:space="preserve">Eldon Law Scholarship, Oxford University (2022)</w:t>
      </w:r>
    </w:p>
    <w:p>
      <w:pPr>
        <w:numPr>
          <w:ilvl w:val="0"/>
          <w:numId w:val="8"/>
        </w:numPr>
      </w:pPr>
      <w:r>
        <w:rPr>
          <w:i w:val="1"/>
          <w:iCs w:val="1"/>
        </w:rPr>
        <w:t xml:space="preserve">Proxime Accessit </w:t>
      </w:r>
      <w:r>
        <w:rPr/>
        <w:t xml:space="preserve">to the Vinerian Scholarship for placing joint 2</w:t>
      </w:r>
      <w:r>
        <w:rPr>
          <w:vertAlign w:val="superscript"/>
        </w:rPr>
        <w:t xml:space="preserve">nd</w:t>
      </w:r>
      <w:r>
        <w:rPr/>
        <w:t xml:space="preserve"> in the year on the BCL, Oxford University (2021)</w:t>
      </w:r>
    </w:p>
    <w:p>
      <w:pPr>
        <w:numPr>
          <w:ilvl w:val="0"/>
          <w:numId w:val="8"/>
        </w:numPr>
      </w:pPr>
      <w:r>
        <w:rPr/>
        <w:t xml:space="preserve">Law Faculty Prize in Corporate Insolvency Law for (joint) best performance on the BCL, Oxford University (2021)</w:t>
      </w:r>
    </w:p>
    <w:p>
      <w:pPr>
        <w:numPr>
          <w:ilvl w:val="0"/>
          <w:numId w:val="8"/>
        </w:numPr>
      </w:pPr>
      <w:r>
        <w:rPr/>
        <w:t xml:space="preserve">Volterra Fietta Prize in International Dispute Settlement for best performance on the BCL, Oxford University (2021)</w:t>
      </w:r>
    </w:p>
    <w:p>
      <w:pPr>
        <w:numPr>
          <w:ilvl w:val="0"/>
          <w:numId w:val="8"/>
        </w:numPr>
      </w:pPr>
      <w:r>
        <w:rPr/>
        <w:t xml:space="preserve">Bedingfield Scholarship, Gray’s Inn (2021)</w:t>
      </w:r>
    </w:p>
    <w:p>
      <w:pPr>
        <w:numPr>
          <w:ilvl w:val="0"/>
          <w:numId w:val="8"/>
        </w:numPr>
      </w:pPr>
      <w:r>
        <w:rPr/>
        <w:t xml:space="preserve">Bundy Scholarship, Magdalene College, Cambridge (2020)</w:t>
      </w:r>
    </w:p>
    <w:p>
      <w:pPr>
        <w:numPr>
          <w:ilvl w:val="0"/>
          <w:numId w:val="8"/>
        </w:numPr>
      </w:pPr>
      <w:r>
        <w:rPr/>
        <w:t xml:space="preserve">Orlando Bridgeman Prize for Law, Magdalene College, Cambridge (2020)</w:t>
      </w:r>
    </w:p>
    <w:p>
      <w:pPr>
        <w:numPr>
          <w:ilvl w:val="0"/>
          <w:numId w:val="8"/>
        </w:numPr>
      </w:pPr>
      <w:r>
        <w:rPr/>
        <w:t xml:space="preserve">Scholar, Magdalene College, Cambridge (2018, 2019)</w:t>
      </w:r>
    </w:p>
    <w:p>
      <w:pPr>
        <w:numPr>
          <w:ilvl w:val="0"/>
          <w:numId w:val="8"/>
        </w:numPr>
      </w:pPr>
      <w:r>
        <w:rPr/>
        <w:t xml:space="preserve">Thomas Audley Prize for Law, Magdalene College, Cambridge (2019)</w:t>
      </w:r>
    </w:p>
    <w:p>
      <w:pPr>
        <w:numPr>
          <w:ilvl w:val="0"/>
          <w:numId w:val="8"/>
        </w:numPr>
      </w:pPr>
      <w:r>
        <w:rPr/>
        <w:t xml:space="preserve">George Long Prize for Roman Law for (joint) highest mark in university, Cambridge University (2018)</w:t>
      </w:r>
    </w:p>
    <w:p>
      <w:pPr>
        <w:numPr>
          <w:ilvl w:val="0"/>
          <w:numId w:val="8"/>
        </w:numPr>
      </w:pPr>
      <w:r>
        <w:rPr/>
        <w:t xml:space="preserve">Norah Dias Prize for Law, Magdalene College, Cambridge (2018)</w:t>
      </w:r>
    </w:p>
    <w:p>
      <w:pPr>
        <w:numPr>
          <w:ilvl w:val="0"/>
          <w:numId w:val="8"/>
        </w:numPr>
      </w:pPr>
      <w:r>
        <w:rPr/>
        <w:t xml:space="preserve">Jardine Scholarship (2017)</w:t>
      </w:r>
    </w:p>
    <w:p/>
    <w:p>
      <w:pPr>
        <w:pStyle w:val="Heading2"/>
      </w:pPr>
      <w:bookmarkStart w:id="25" w:name="_Toc25"/>
      <w:r>
        <w:t>Languages</w:t>
      </w:r>
      <w:bookmarkEnd w:id="25"/>
    </w:p>
    <w:p>
      <w:pPr>
        <w:numPr>
          <w:ilvl w:val="0"/>
          <w:numId w:val="9"/>
        </w:numPr>
      </w:pPr>
      <w:r>
        <w:rPr/>
        <w:t xml:space="preserve">Chinese Mandarin (fluent)</w:t>
      </w:r>
    </w:p>
    <w:p>
      <w:pPr>
        <w:numPr>
          <w:ilvl w:val="0"/>
          <w:numId w:val="9"/>
        </w:numPr>
      </w:pPr>
      <w:r>
        <w:rPr/>
        <w:t xml:space="preserve">Chinese Cantonese (fluent)</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48DB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1CE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19F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2026-11-01T13:29:04+00:00</dcterms:created>
  <dcterms:modified xsi:type="dcterms:W3CDTF">2026-11-01T13:29:04+00:00</dcterms:modified>
</cp:coreProperties>
</file>

<file path=docProps/custom.xml><?xml version="1.0" encoding="utf-8"?>
<Properties xmlns="http://schemas.openxmlformats.org/officeDocument/2006/custom-properties" xmlns:vt="http://schemas.openxmlformats.org/officeDocument/2006/docPropsVTypes"/>
</file>