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Sarah Hair</w:t>
      </w:r>
      <w:bookmarkEnd w:id="1"/>
    </w:p>
    <w:tbl>
      <w:tblGrid>
        <w:gridCol w:w="1500" w:type="dxa"/>
        <w:gridCol w:w="4500" w:type="dxa"/>
      </w:tblGrid>
      <w:tr>
        <w:trPr/>
        <w:tc>
          <w:tcPr>
            <w:tcW w:w="1500" w:type="dxa"/>
          </w:tcPr>
          <w:p>
            <w:pPr/>
            <w:r>
              <w:rPr>
                <w:b w:val="1"/>
                <w:bCs w:val="1"/>
              </w:rPr>
              <w:t xml:space="preserve">Call</w:t>
            </w:r>
          </w:p>
        </w:tc>
        <w:tc>
          <w:tcPr>
            <w:tcW w:w="4500" w:type="dxa"/>
          </w:tcPr>
          <w:p>
            <w:pPr/>
            <w:r>
              <w:rPr/>
              <w:t xml:space="preserve">2025</w:t>
            </w:r>
          </w:p>
        </w:tc>
      </w:tr>
      <w:tr>
        <w:trPr/>
        <w:tc>
          <w:tcPr>
            <w:tcW w:w="1500" w:type="dxa"/>
          </w:tcPr>
          <w:p>
            <w:pPr/>
            <w:r>
              <w:rPr>
                <w:b w:val="1"/>
                <w:bCs w:val="1"/>
              </w:rPr>
              <w:t xml:space="preserve">Email</w:t>
            </w:r>
          </w:p>
        </w:tc>
        <w:tc>
          <w:tcPr>
            <w:tcW w:w="4500" w:type="dxa"/>
          </w:tcPr>
          <w:p>
            <w:pPr/>
            <w:r>
              <w:rPr/>
              <w:t xml:space="preserve">sah@fountaincourt.co.uk</w:t>
            </w:r>
          </w:p>
        </w:tc>
      </w:tr>
      <w:tr>
        <w:trPr/>
        <w:tc>
          <w:tcPr>
            <w:tcW w:w="1500" w:type="dxa"/>
          </w:tcPr>
          <w:p>
            <w:pPr/>
            <w:r>
              <w:rPr>
                <w:b w:val="1"/>
                <w:bCs w:val="1"/>
              </w:rPr>
              <w:t xml:space="preserve">Telephone</w:t>
            </w:r>
          </w:p>
        </w:tc>
        <w:tc>
          <w:tcPr>
            <w:tcW w:w="4500" w:type="dxa"/>
          </w:tcPr>
          <w:p>
            <w:pPr/>
            <w:r>
              <w:rPr/>
              <w:t xml:space="preserve">+44 (0)20 7583 3335</w:t>
            </w:r>
          </w:p>
        </w:tc>
      </w:tr>
    </w:tbl>
    <w:p/>
    <w:p>
      <w:pPr>
        <w:pStyle w:val="Heading2"/>
      </w:pPr>
      <w:bookmarkStart w:id="2" w:name="_Toc2"/>
      <w:r>
        <w:t>Overview</w:t>
      </w:r>
      <w:bookmarkEnd w:id="2"/>
    </w:p>
    <w:p>
      <w:pPr/>
      <w:r>
        <w:rPr/>
        <w:t xml:space="preserve">Sarah is developing a broad commercial practice across Chambers’ core areas of expertise, with particular interest in sport, technology, and art law matters.</w:t>
      </w:r>
      <w:r>
        <w:rPr/>
        <w:t xml:space="preserve"> </w:t>
      </w:r>
    </w:p>
    <w:p>
      <w:pPr/>
      <w:r>
        <w:rPr/>
        <w:t xml:space="preserve">She joined Chambers in 2026, following the successful completion of her pupillage under the supervision of Niamh Cleary, Alex Barden KC, and Katherine Hardcastle.</w:t>
      </w:r>
      <w:r>
        <w:rPr/>
        <w:t xml:space="preserve"> </w:t>
      </w:r>
    </w:p>
    <w:p>
      <w:pPr/>
      <w:r>
        <w:rPr/>
        <w:t xml:space="preserve">Sarah graduated with a First Class degree in Law from Queen’s University Belfast and received the McKane Medal for coming first in her year. She then completed the LLM at the University of Cambridge with a commercial specialisation, in receipt of the Spyrou-Lintott Scholarship and De Hart Prize from Christ’s College. Prior to commencing pupillage, Sarah worked as an intern at the SIAC Secretariat in Singapore. </w:t>
      </w:r>
      <w:r>
        <w:rPr/>
        <w:t xml:space="preserve"> </w:t>
      </w:r>
    </w:p>
    <w:p/>
    <w:p>
      <w:pPr>
        <w:pStyle w:val="Heading2"/>
      </w:pPr>
      <w:bookmarkStart w:id="3" w:name="_Toc3"/>
      <w:r>
        <w:t>Recent Highlights</w:t>
      </w:r>
      <w:bookmarkEnd w:id="3"/>
    </w:p>
    <w:p>
      <w:pPr/>
      <w:r>
        <w:rPr>
          <w:lang w:val="EN-GB"/>
        </w:rPr>
        <w:t xml:space="preserve">Assisting</w:t>
      </w:r>
      <w:r>
        <w:rPr>
          <w:lang w:val="EN-GB"/>
        </w:rPr>
        <w:t xml:space="preserve"> with research in a leapfrog appeal to the UKSC on the scope of the tort of unlawful means conspiracy, arising out of a motorsport dispute (during pupillage)</w:t>
      </w:r>
      <w:r>
        <w:rPr>
          <w:lang w:val="EN-GB"/>
        </w:rPr>
        <w:t xml:space="preserve">.</w:t>
      </w:r>
      <w:r>
        <w:rPr/>
        <w:t xml:space="preserve"> </w:t>
      </w:r>
    </w:p>
    <w:p/>
    <w:p>
      <w:pPr/>
      <w:r>
        <w:rPr>
          <w:lang w:val="EN-GB"/>
        </w:rPr>
        <w:t xml:space="preserve">Assisting</w:t>
      </w:r>
      <w:r>
        <w:rPr>
          <w:lang w:val="EN-GB"/>
        </w:rPr>
        <w:t xml:space="preserve"> with </w:t>
      </w:r>
      <w:r>
        <w:rPr>
          <w:lang w:val="EN-GB"/>
        </w:rPr>
        <w:t xml:space="preserve">subsequent</w:t>
      </w:r>
      <w:r>
        <w:rPr>
          <w:lang w:val="EN-GB"/>
        </w:rPr>
        <w:t xml:space="preserve"> </w:t>
      </w:r>
      <w:r>
        <w:rPr>
          <w:lang w:val="EN-GB"/>
        </w:rPr>
        <w:t xml:space="preserve">CACD</w:t>
      </w:r>
      <w:r>
        <w:rPr>
          <w:lang w:val="EN-GB"/>
        </w:rPr>
        <w:t xml:space="preserve"> appeals of traders seeking the quashing of their convictions in the wake of </w:t>
      </w:r>
      <w:r>
        <w:rPr>
          <w:lang w:val="EN-GB"/>
        </w:rPr>
        <w:t xml:space="preserve">R v Hayes and Palombo </w:t>
      </w:r>
      <w:r>
        <w:rPr>
          <w:lang w:val="EN-GB"/>
        </w:rPr>
        <w:t xml:space="preserve">(during pupillage).</w:t>
      </w:r>
      <w:r>
        <w:rPr/>
        <w:t xml:space="preserve"> </w:t>
      </w:r>
    </w:p>
    <w:p/>
    <w:p>
      <w:pPr/>
      <w:r>
        <w:rPr>
          <w:lang w:val="EN-GB"/>
        </w:rPr>
        <w:t xml:space="preserve">Assisting</w:t>
      </w:r>
      <w:r>
        <w:rPr>
          <w:lang w:val="EN-GB"/>
        </w:rPr>
        <w:t xml:space="preserve"> with various applications and pleadings in a complex aviation leasing dispute involving the financing of </w:t>
      </w:r>
      <w:r>
        <w:rPr>
          <w:lang w:val="EN-GB"/>
        </w:rPr>
        <w:t xml:space="preserve">aircraft</w:t>
      </w:r>
      <w:r>
        <w:rPr>
          <w:lang w:val="EN-GB"/>
        </w:rPr>
        <w:t xml:space="preserve"> through the </w:t>
      </w:r>
      <w:r>
        <w:rPr>
          <w:lang w:val="EN-GB"/>
        </w:rPr>
        <w:t xml:space="preserve">JOLCO</w:t>
      </w:r>
      <w:r>
        <w:rPr>
          <w:lang w:val="EN-GB"/>
        </w:rPr>
        <w:t xml:space="preserve"> (Japanese Operating Lease with Call Option) structure, assignment of security interests and termination, and contractual indemnities (during pupillage).</w:t>
      </w:r>
      <w:r>
        <w:rPr/>
        <w:t xml:space="preserve"> </w:t>
      </w:r>
    </w:p>
    <w:p/>
    <w:p>
      <w:pPr/>
      <w:r>
        <w:rPr>
          <w:lang w:val="EN-GB"/>
        </w:rPr>
        <w:t xml:space="preserve">Assisting</w:t>
      </w:r>
      <w:r>
        <w:rPr>
          <w:lang w:val="EN-GB"/>
        </w:rPr>
        <w:t xml:space="preserve"> with pleadings (with Jeff Chapman KC) in a complex high value professional negligence claim brought against a firm of solicitors, arising from alleged mishandling of negotiations, a mediation, and legal proceedings involving restrictive covenants (during pupillage).</w:t>
      </w:r>
      <w:r>
        <w:rPr/>
        <w:t xml:space="preserve"> </w:t>
      </w:r>
    </w:p>
    <w:p/>
    <w:p>
      <w:pPr/>
      <w:r>
        <w:rPr>
          <w:lang w:val="EN-GB"/>
        </w:rPr>
        <w:t xml:space="preserve">Assisting</w:t>
      </w:r>
      <w:r>
        <w:rPr>
          <w:lang w:val="EN-GB"/>
        </w:rPr>
        <w:t xml:space="preserve"> </w:t>
      </w:r>
      <w:r>
        <w:rPr>
          <w:lang w:val="EN-GB"/>
        </w:rPr>
        <w:t xml:space="preserve">with a</w:t>
      </w:r>
      <w:r>
        <w:rPr>
          <w:lang w:val="EN-GB"/>
        </w:rPr>
        <w:t xml:space="preserve">n </w:t>
      </w:r>
      <w:r>
        <w:rPr>
          <w:lang w:val="EN-GB"/>
        </w:rPr>
        <w:t xml:space="preserve">application to intervene </w:t>
      </w:r>
      <w:r>
        <w:rPr>
          <w:lang w:val="EN-GB"/>
        </w:rPr>
        <w:t xml:space="preserve">in a UKSC appeal</w:t>
      </w:r>
      <w:r>
        <w:rPr>
          <w:lang w:val="EN-GB"/>
        </w:rPr>
        <w:t xml:space="preserve">,</w:t>
      </w:r>
      <w:r>
        <w:rPr>
          <w:lang w:val="EN-GB"/>
        </w:rPr>
        <w:t xml:space="preserve"> and with preparing submissions on behalf of the intervenors on the </w:t>
      </w:r>
      <w:r>
        <w:rPr>
          <w:lang w:val="EN-GB"/>
        </w:rPr>
        <w:t xml:space="preserve">topic of </w:t>
      </w:r>
      <w:r>
        <w:rPr>
          <w:lang w:val="EN-GB"/>
        </w:rPr>
        <w:t xml:space="preserve">causation in homicide cases </w:t>
      </w:r>
      <w:r>
        <w:rPr>
          <w:lang w:val="EN-GB"/>
        </w:rPr>
        <w:t xml:space="preserve">involving the suicide of victims of domestic violence</w:t>
      </w:r>
      <w:r>
        <w:rPr>
          <w:lang w:val="EN-GB"/>
        </w:rPr>
        <w:t xml:space="preserve"> (during pupillage)</w:t>
      </w:r>
      <w:r>
        <w:rPr>
          <w:lang w:val="EN-GB"/>
        </w:rPr>
        <w:t xml:space="preserve">.</w:t>
      </w:r>
      <w:r>
        <w:rPr/>
        <w:t xml:space="preserve"> </w:t>
      </w:r>
    </w:p>
    <w:p/>
    <w:p>
      <w:pPr>
        <w:pStyle w:val="Heading2"/>
      </w:pPr>
      <w:bookmarkStart w:id="4" w:name="_Toc4"/>
      <w:r>
        <w:t>Expertise</w:t>
      </w:r>
      <w:bookmarkEnd w:id="4"/>
    </w:p>
    <w:p/>
    <w:p>
      <w:pPr>
        <w:pStyle w:val="Heading3"/>
      </w:pPr>
      <w:bookmarkStart w:id="5" w:name="_Toc5"/>
      <w:r>
        <w:t>Art &amp; Cultural Property</w:t>
      </w:r>
      <w:bookmarkEnd w:id="5"/>
    </w:p>
    <w:p/>
    <w:p>
      <w:pPr>
        <w:pStyle w:val="Heading4"/>
      </w:pPr>
      <w:bookmarkStart w:id="6" w:name="_Toc6"/>
      <w:r>
        <w:t>Notable cases</w:t>
      </w:r>
      <w:bookmarkEnd w:id="6"/>
    </w:p>
    <w:p>
      <w:pPr/>
      <w:r>
        <w:rPr>
          <w:lang w:val="EN-GB"/>
        </w:rPr>
        <w:t xml:space="preserve">Sarah </w:t>
      </w:r>
      <w:r>
        <w:rPr>
          <w:lang w:val="EN-GB"/>
        </w:rPr>
        <w:t xml:space="preserve">h</w:t>
      </w:r>
      <w:r>
        <w:rPr>
          <w:lang w:val="EN-GB"/>
        </w:rPr>
        <w:t xml:space="preserve">as a particular interest in </w:t>
      </w:r>
      <w:r>
        <w:rPr>
          <w:lang w:val="EN-GB"/>
        </w:rPr>
        <w:t xml:space="preserve">matters involving art and is </w:t>
      </w:r>
      <w:r>
        <w:rPr>
          <w:lang w:val="EN-GB"/>
        </w:rPr>
        <w:t xml:space="preserve">currently undertaking a Diploma in Art Law </w:t>
      </w:r>
      <w:r>
        <w:rPr>
          <w:lang w:val="EN-GB"/>
        </w:rPr>
        <w:t xml:space="preserve">with the I</w:t>
      </w:r>
      <w:r>
        <w:rPr>
          <w:lang w:val="EN-GB"/>
        </w:rPr>
        <w:t xml:space="preserve">nstitute of Art &amp; Law</w:t>
      </w:r>
      <w:r>
        <w:rPr>
          <w:lang w:val="EN-GB"/>
        </w:rPr>
        <w:t xml:space="preserve">.</w:t>
      </w:r>
      <w:r>
        <w:rPr/>
        <w:t xml:space="preserve"> </w:t>
      </w:r>
    </w:p>
    <w:p/>
    <w:p>
      <w:pPr>
        <w:pStyle w:val="Heading3"/>
      </w:pPr>
      <w:bookmarkStart w:id="7" w:name="_Toc7"/>
      <w:r>
        <w:t>Aviation &amp; Travel</w:t>
      </w:r>
      <w:bookmarkEnd w:id="7"/>
    </w:p>
    <w:p/>
    <w:p>
      <w:pPr>
        <w:pStyle w:val="Heading4"/>
      </w:pPr>
      <w:bookmarkStart w:id="8" w:name="_Toc8"/>
      <w:r>
        <w:t>Notable cases</w:t>
      </w:r>
      <w:bookmarkEnd w:id="8"/>
    </w:p>
    <w:p>
      <w:pPr/>
      <w:r>
        <w:rPr>
          <w:lang w:val="EN-GB"/>
        </w:rPr>
        <w:t xml:space="preserve">Assisting</w:t>
      </w:r>
      <w:r>
        <w:rPr>
          <w:lang w:val="EN-GB"/>
        </w:rPr>
        <w:t xml:space="preserve"> with </w:t>
      </w:r>
      <w:r>
        <w:rPr>
          <w:lang w:val="EN-GB"/>
        </w:rPr>
        <w:t xml:space="preserve">various applications and pleadings in a complex</w:t>
      </w:r>
      <w:r>
        <w:rPr>
          <w:lang w:val="EN-GB"/>
        </w:rPr>
        <w:t xml:space="preserve"> aviation leasing dispute involving the financing of </w:t>
      </w:r>
      <w:r>
        <w:rPr>
          <w:lang w:val="EN-GB"/>
        </w:rPr>
        <w:t xml:space="preserve">aircraft</w:t>
      </w:r>
      <w:r>
        <w:rPr>
          <w:lang w:val="EN-GB"/>
        </w:rPr>
        <w:t xml:space="preserve"> through the </w:t>
      </w:r>
      <w:r>
        <w:rPr>
          <w:lang w:val="EN-GB"/>
        </w:rPr>
        <w:t xml:space="preserve">JOLCO</w:t>
      </w:r>
      <w:r>
        <w:rPr>
          <w:lang w:val="EN-GB"/>
        </w:rPr>
        <w:t xml:space="preserve"> (Japanese Operating Lease with Call Option)</w:t>
      </w:r>
      <w:r>
        <w:rPr>
          <w:lang w:val="EN-GB"/>
        </w:rPr>
        <w:t xml:space="preserve"> structure</w:t>
      </w:r>
      <w:r>
        <w:rPr>
          <w:lang w:val="EN-GB"/>
        </w:rPr>
        <w:t xml:space="preserve">, </w:t>
      </w:r>
      <w:r>
        <w:rPr>
          <w:lang w:val="EN-GB"/>
        </w:rPr>
        <w:t xml:space="preserve">assignment of security interests</w:t>
      </w:r>
      <w:r>
        <w:rPr>
          <w:lang w:val="EN-GB"/>
        </w:rPr>
        <w:t xml:space="preserve"> and </w:t>
      </w:r>
      <w:r>
        <w:rPr>
          <w:lang w:val="EN-GB"/>
        </w:rPr>
        <w:t xml:space="preserve">termination, and </w:t>
      </w:r>
      <w:r>
        <w:rPr>
          <w:lang w:val="EN-GB"/>
        </w:rPr>
        <w:t xml:space="preserve">contractual indemnities</w:t>
      </w:r>
      <w:r>
        <w:rPr>
          <w:lang w:val="EN-GB"/>
        </w:rPr>
        <w:t xml:space="preserve"> </w:t>
      </w:r>
      <w:r>
        <w:rPr>
          <w:lang w:val="EN-GB"/>
        </w:rPr>
        <w:t xml:space="preserve">(during pupillage).</w:t>
      </w:r>
      <w:r>
        <w:rPr/>
        <w:t xml:space="preserve"> </w:t>
      </w:r>
    </w:p>
    <w:p/>
    <w:p>
      <w:pPr/>
      <w:r>
        <w:rPr>
          <w:lang w:val="EN-GB"/>
        </w:rPr>
        <w:t xml:space="preserve">Assist</w:t>
      </w:r>
      <w:r>
        <w:rPr>
          <w:lang w:val="EN-GB"/>
        </w:rPr>
        <w:t xml:space="preserve">ing</w:t>
      </w:r>
      <w:r>
        <w:rPr>
          <w:lang w:val="EN-GB"/>
        </w:rPr>
        <w:t xml:space="preserve"> with </w:t>
      </w:r>
      <w:r>
        <w:rPr>
          <w:lang w:val="EN-GB"/>
        </w:rPr>
        <w:t xml:space="preserve">legal </w:t>
      </w:r>
      <w:r>
        <w:rPr>
          <w:lang w:val="EN-GB"/>
        </w:rPr>
        <w:t xml:space="preserve">research</w:t>
      </w:r>
      <w:r>
        <w:rPr>
          <w:lang w:val="EN-GB"/>
        </w:rPr>
        <w:t xml:space="preserve"> and pleadings in a </w:t>
      </w:r>
      <w:r>
        <w:rPr>
          <w:lang w:val="EN-GB"/>
        </w:rPr>
        <w:t xml:space="preserve">negligence claim </w:t>
      </w:r>
      <w:r>
        <w:rPr>
          <w:lang w:val="EN-GB"/>
        </w:rPr>
        <w:t xml:space="preserve">concerning </w:t>
      </w:r>
      <w:r>
        <w:rPr>
          <w:lang w:val="EN-GB"/>
        </w:rPr>
        <w:t xml:space="preserve">the </w:t>
      </w:r>
      <w:r>
        <w:rPr>
          <w:lang w:val="EN-GB"/>
        </w:rPr>
        <w:t xml:space="preserve">provision of </w:t>
      </w:r>
      <w:r>
        <w:rPr>
          <w:lang w:val="EN-GB"/>
        </w:rPr>
        <w:t xml:space="preserve">air traffic </w:t>
      </w:r>
      <w:r>
        <w:rPr>
          <w:lang w:val="EN-GB"/>
        </w:rPr>
        <w:t xml:space="preserve">control</w:t>
      </w:r>
      <w:r>
        <w:rPr>
          <w:lang w:val="EN-GB"/>
        </w:rPr>
        <w:t xml:space="preserve"> services</w:t>
      </w:r>
      <w:r>
        <w:rPr>
          <w:lang w:val="EN-GB"/>
        </w:rPr>
        <w:t xml:space="preserve">, </w:t>
      </w:r>
      <w:r>
        <w:rPr>
          <w:lang w:val="EN-GB"/>
        </w:rPr>
        <w:t xml:space="preserve">involving</w:t>
      </w:r>
      <w:r>
        <w:rPr>
          <w:lang w:val="EN-GB"/>
        </w:rPr>
        <w:t xml:space="preserve"> </w:t>
      </w:r>
      <w:r>
        <w:rPr>
          <w:lang w:val="EN-GB"/>
        </w:rPr>
        <w:t xml:space="preserve">novel </w:t>
      </w:r>
      <w:r>
        <w:rPr>
          <w:lang w:val="EN-GB"/>
        </w:rPr>
        <w:t xml:space="preserve">questions of recoverability and </w:t>
      </w:r>
      <w:r>
        <w:rPr>
          <w:lang w:val="EN-GB"/>
        </w:rPr>
        <w:t xml:space="preserve">mitigation of loss</w:t>
      </w:r>
      <w:r>
        <w:rPr>
          <w:lang w:val="EN-GB"/>
        </w:rPr>
        <w:t xml:space="preserve"> (during pupillage).</w:t>
      </w:r>
      <w:r>
        <w:rPr/>
        <w:t xml:space="preserve"> </w:t>
      </w:r>
    </w:p>
    <w:p/>
    <w:p>
      <w:pPr>
        <w:pStyle w:val="Heading3"/>
      </w:pPr>
      <w:bookmarkStart w:id="9" w:name="_Toc9"/>
      <w:r>
        <w:t>Banking &amp; Finance</w:t>
      </w:r>
      <w:bookmarkEnd w:id="9"/>
    </w:p>
    <w:p/>
    <w:p>
      <w:pPr>
        <w:pStyle w:val="Heading4"/>
      </w:pPr>
      <w:bookmarkStart w:id="10" w:name="_Toc10"/>
      <w:r>
        <w:t>Notable cases</w:t>
      </w:r>
      <w:bookmarkEnd w:id="10"/>
    </w:p>
    <w:p>
      <w:pPr/>
      <w:r>
        <w:rPr>
          <w:lang w:val="EN-GB"/>
        </w:rPr>
        <w:t xml:space="preserve">Assisting</w:t>
      </w:r>
      <w:r>
        <w:rPr>
          <w:lang w:val="EN-GB"/>
        </w:rPr>
        <w:t xml:space="preserve"> with legal research in a hedge funds dispute concerning the interpretation of an Event of Default clause (during pupillage).</w:t>
      </w:r>
      <w:r>
        <w:rPr/>
        <w:t xml:space="preserve"> </w:t>
      </w:r>
    </w:p>
    <w:p/>
    <w:p>
      <w:pPr>
        <w:pStyle w:val="Heading3"/>
      </w:pPr>
      <w:bookmarkStart w:id="11" w:name="_Toc11"/>
      <w:r>
        <w:t>Civil Fraud</w:t>
      </w:r>
      <w:bookmarkEnd w:id="11"/>
    </w:p>
    <w:p/>
    <w:p>
      <w:pPr>
        <w:pStyle w:val="Heading4"/>
      </w:pPr>
      <w:bookmarkStart w:id="12" w:name="_Toc12"/>
      <w:r>
        <w:t>Notable cases</w:t>
      </w:r>
      <w:bookmarkEnd w:id="12"/>
    </w:p>
    <w:p>
      <w:pPr/>
      <w:r>
        <w:rPr>
          <w:lang w:val="EN-GB"/>
        </w:rPr>
        <w:t xml:space="preserve">Assisting</w:t>
      </w:r>
      <w:r>
        <w:rPr>
          <w:lang w:val="EN-GB"/>
        </w:rPr>
        <w:t xml:space="preserve"> </w:t>
      </w:r>
      <w:r>
        <w:rPr>
          <w:lang w:val="EN-GB"/>
        </w:rPr>
        <w:t xml:space="preserve">with </w:t>
      </w:r>
      <w:r>
        <w:rPr>
          <w:lang w:val="EN-GB"/>
        </w:rPr>
        <w:t xml:space="preserve">legal </w:t>
      </w:r>
      <w:r>
        <w:rPr>
          <w:lang w:val="EN-GB"/>
        </w:rPr>
        <w:t xml:space="preserve">research and submissions</w:t>
      </w:r>
      <w:r>
        <w:rPr>
          <w:lang w:val="EN-GB"/>
        </w:rPr>
        <w:t xml:space="preserve"> on the sharp practice principle</w:t>
      </w:r>
      <w:r>
        <w:rPr>
          <w:lang w:val="EN-GB"/>
        </w:rPr>
        <w:t xml:space="preserve"> in </w:t>
      </w:r>
      <w:r>
        <w:rPr>
          <w:lang w:val="EN-GB"/>
        </w:rPr>
        <w:t xml:space="preserve">a claim for </w:t>
      </w:r>
      <w:r>
        <w:rPr>
          <w:lang w:val="EN-GB"/>
        </w:rPr>
        <w:t xml:space="preserve">breach of warranty, fraudulent misrepresentation</w:t>
      </w:r>
      <w:r>
        <w:rPr>
          <w:lang w:val="EN-GB"/>
        </w:rPr>
        <w:t xml:space="preserve">,</w:t>
      </w:r>
      <w:r>
        <w:rPr>
          <w:lang w:val="EN-GB"/>
        </w:rPr>
        <w:t xml:space="preserve"> and conspiracy</w:t>
      </w:r>
      <w:r>
        <w:rPr>
          <w:lang w:val="EN-GB"/>
        </w:rPr>
        <w:t xml:space="preserve">,</w:t>
      </w:r>
      <w:r>
        <w:rPr>
          <w:lang w:val="EN-GB"/>
        </w:rPr>
        <w:t xml:space="preserve"> in relation to a fraud carried out within a company prior to</w:t>
      </w:r>
      <w:r>
        <w:rPr>
          <w:lang w:val="EN-GB"/>
        </w:rPr>
        <w:t xml:space="preserve"> its</w:t>
      </w:r>
      <w:r>
        <w:rPr>
          <w:lang w:val="EN-GB"/>
        </w:rPr>
        <w:t xml:space="preserve"> acquisition </w:t>
      </w:r>
      <w:r>
        <w:rPr>
          <w:lang w:val="EN-GB"/>
        </w:rPr>
        <w:t xml:space="preserve">(during pupillage).</w:t>
      </w:r>
      <w:r>
        <w:rPr/>
        <w:t xml:space="preserve"> </w:t>
      </w:r>
    </w:p>
    <w:p/>
    <w:p>
      <w:pPr/>
      <w:r>
        <w:rPr>
          <w:lang w:val="EN-GB"/>
        </w:rPr>
        <w:t xml:space="preserve">Assisting </w:t>
      </w:r>
      <w:r>
        <w:rPr>
          <w:lang w:val="EN-GB"/>
        </w:rPr>
        <w:t xml:space="preserve">with </w:t>
      </w:r>
      <w:r>
        <w:rPr>
          <w:lang w:val="EN-GB"/>
        </w:rPr>
        <w:t xml:space="preserve">legal </w:t>
      </w:r>
      <w:r>
        <w:rPr>
          <w:lang w:val="EN-GB"/>
        </w:rPr>
        <w:t xml:space="preserve">research and submissions</w:t>
      </w:r>
      <w:r>
        <w:rPr>
          <w:lang w:val="EN-GB"/>
        </w:rPr>
        <w:t xml:space="preserve">, including on extraterritorial application of section 423 IA and the applicable law in claims for inducing breach of contract/unlawful means conspiracy, </w:t>
      </w:r>
      <w:r>
        <w:rPr>
          <w:lang w:val="EN-GB"/>
        </w:rPr>
        <w:t xml:space="preserve">in a</w:t>
      </w:r>
      <w:r>
        <w:rPr>
          <w:lang w:val="EN-GB"/>
        </w:rPr>
        <w:t xml:space="preserve"> </w:t>
      </w:r>
      <w:r>
        <w:rPr>
          <w:lang w:val="EN-GB"/>
        </w:rPr>
        <w:t xml:space="preserve">claim </w:t>
      </w:r>
      <w:r>
        <w:rPr>
          <w:lang w:val="EN-GB"/>
        </w:rPr>
        <w:t xml:space="preserve">involving</w:t>
      </w:r>
      <w:r>
        <w:rPr>
          <w:lang w:val="EN-GB"/>
        </w:rPr>
        <w:t xml:space="preserve"> </w:t>
      </w:r>
      <w:r>
        <w:rPr>
          <w:lang w:val="EN-GB"/>
        </w:rPr>
        <w:t xml:space="preserve">fraudulent </w:t>
      </w:r>
      <w:r>
        <w:rPr>
          <w:lang w:val="EN-GB"/>
        </w:rPr>
        <w:t xml:space="preserve">misappropriation of shares</w:t>
      </w:r>
      <w:r>
        <w:rPr>
          <w:lang w:val="EN-GB"/>
        </w:rPr>
        <w:t xml:space="preserve"> </w:t>
      </w:r>
      <w:r>
        <w:rPr>
          <w:lang w:val="EN-GB"/>
        </w:rPr>
        <w:t xml:space="preserve">amounting to a </w:t>
      </w:r>
      <w:r>
        <w:rPr>
          <w:lang w:val="EN-GB"/>
        </w:rPr>
        <w:t xml:space="preserve">transaction at an undervalue with the intention of defrauding creditors </w:t>
      </w:r>
      <w:r>
        <w:rPr>
          <w:lang w:val="EN-GB"/>
        </w:rPr>
        <w:t xml:space="preserve">(during pupillage).</w:t>
      </w:r>
      <w:r>
        <w:rPr/>
        <w:t xml:space="preserve"> </w:t>
      </w:r>
    </w:p>
    <w:p/>
    <w:p>
      <w:pPr/>
      <w:r>
        <w:rPr>
          <w:lang w:val="EN-GB"/>
        </w:rPr>
        <w:t xml:space="preserve">Assisting</w:t>
      </w:r>
      <w:r>
        <w:rPr>
          <w:lang w:val="EN-GB"/>
        </w:rPr>
        <w:t xml:space="preserve"> with legal research on the </w:t>
      </w:r>
      <w:r>
        <w:rPr>
          <w:lang w:val="EN-GB"/>
        </w:rPr>
        <w:t xml:space="preserve">appropriate timing</w:t>
      </w:r>
      <w:r>
        <w:rPr>
          <w:lang w:val="EN-GB"/>
        </w:rPr>
        <w:t xml:space="preserve"> of a non-party costs order in a dispute concerning </w:t>
      </w:r>
      <w:r>
        <w:rPr>
          <w:lang w:val="EN-GB"/>
        </w:rPr>
        <w:t xml:space="preserve">an </w:t>
      </w:r>
      <w:r>
        <w:rPr>
          <w:lang w:val="EN-GB"/>
        </w:rPr>
        <w:t xml:space="preserve">arbitral award </w:t>
      </w:r>
      <w:r>
        <w:rPr>
          <w:lang w:val="EN-GB"/>
        </w:rPr>
        <w:t xml:space="preserve">found to have been </w:t>
      </w:r>
      <w:r>
        <w:rPr>
          <w:lang w:val="EN-GB"/>
        </w:rPr>
        <w:t xml:space="preserve">obtained through fraud (during pupillage).</w:t>
      </w:r>
      <w:r>
        <w:rPr/>
        <w:t xml:space="preserve"> </w:t>
      </w:r>
    </w:p>
    <w:p/>
    <w:p>
      <w:pPr>
        <w:pStyle w:val="Heading3"/>
      </w:pPr>
      <w:bookmarkStart w:id="13" w:name="_Toc13"/>
      <w:r>
        <w:t>Commercial Crime</w:t>
      </w:r>
      <w:bookmarkEnd w:id="13"/>
    </w:p>
    <w:p/>
    <w:p>
      <w:pPr>
        <w:pStyle w:val="Heading4"/>
      </w:pPr>
      <w:bookmarkStart w:id="14" w:name="_Toc14"/>
      <w:r>
        <w:t>Notable cases</w:t>
      </w:r>
      <w:bookmarkEnd w:id="14"/>
    </w:p>
    <w:p>
      <w:pPr/>
      <w:r>
        <w:rPr>
          <w:lang w:val="EN-GB"/>
        </w:rPr>
        <w:t xml:space="preserve">Assisting</w:t>
      </w:r>
      <w:r>
        <w:rPr>
          <w:lang w:val="EN-GB"/>
        </w:rPr>
        <w:t xml:space="preserve"> with </w:t>
      </w:r>
      <w:r>
        <w:rPr>
          <w:lang w:val="EN-GB"/>
        </w:rPr>
        <w:t xml:space="preserve">subsequent</w:t>
      </w:r>
      <w:r>
        <w:rPr>
          <w:lang w:val="EN-GB"/>
        </w:rPr>
        <w:t xml:space="preserve"> </w:t>
      </w:r>
      <w:r>
        <w:rPr>
          <w:lang w:val="EN-GB"/>
        </w:rPr>
        <w:t xml:space="preserve">CACD</w:t>
      </w:r>
      <w:r>
        <w:rPr>
          <w:lang w:val="EN-GB"/>
        </w:rPr>
        <w:t xml:space="preserve"> </w:t>
      </w:r>
      <w:r>
        <w:rPr>
          <w:lang w:val="EN-GB"/>
        </w:rPr>
        <w:t xml:space="preserve">appeals of traders seeking </w:t>
      </w:r>
      <w:r>
        <w:rPr>
          <w:lang w:val="EN-GB"/>
        </w:rPr>
        <w:t xml:space="preserve">the quashing of their convictions in the wake of </w:t>
      </w:r>
      <w:r>
        <w:rPr>
          <w:lang w:val="EN-GB"/>
        </w:rPr>
        <w:t xml:space="preserve">R v Hayes and Palombo</w:t>
      </w:r>
      <w:r>
        <w:rPr>
          <w:lang w:val="EN-GB"/>
        </w:rPr>
        <w:t xml:space="preserve"> </w:t>
      </w:r>
      <w:r>
        <w:rPr>
          <w:lang w:val="EN-GB"/>
        </w:rPr>
        <w:t xml:space="preserve">(during pupillage).</w:t>
      </w:r>
      <w:r>
        <w:rPr/>
        <w:t xml:space="preserve"> </w:t>
      </w:r>
    </w:p>
    <w:p/>
    <w:p>
      <w:pPr/>
      <w:r>
        <w:rPr>
          <w:lang w:val="EN-GB"/>
        </w:rPr>
        <w:t xml:space="preserve">Assisting</w:t>
      </w:r>
      <w:r>
        <w:rPr>
          <w:lang w:val="EN-GB"/>
        </w:rPr>
        <w:t xml:space="preserve"> with</w:t>
      </w:r>
      <w:r>
        <w:rPr>
          <w:lang w:val="EN-GB"/>
        </w:rPr>
        <w:t xml:space="preserve"> advice and submissions in relation to </w:t>
      </w:r>
      <w:r>
        <w:rPr>
          <w:lang w:val="EN-GB"/>
        </w:rPr>
        <w:t xml:space="preserve">civil matters </w:t>
      </w:r>
      <w:r>
        <w:rPr>
          <w:lang w:val="EN-GB"/>
        </w:rPr>
        <w:t xml:space="preserve">adjacent to</w:t>
      </w:r>
      <w:r>
        <w:rPr>
          <w:lang w:val="EN-GB"/>
        </w:rPr>
        <w:t xml:space="preserve"> </w:t>
      </w:r>
      <w:r>
        <w:rPr>
          <w:lang w:val="EN-GB"/>
        </w:rPr>
        <w:t xml:space="preserve">Entain</w:t>
      </w:r>
      <w:r>
        <w:rPr>
          <w:lang w:val="EN-GB"/>
        </w:rPr>
        <w:t xml:space="preserve"> DPA </w:t>
      </w:r>
      <w:r>
        <w:rPr>
          <w:lang w:val="EN-GB"/>
        </w:rPr>
        <w:t xml:space="preserve">concerning</w:t>
      </w:r>
      <w:r>
        <w:rPr>
          <w:lang w:val="EN-GB"/>
        </w:rPr>
        <w:t xml:space="preserve"> investor claims</w:t>
      </w:r>
      <w:r>
        <w:rPr>
          <w:lang w:val="EN-GB"/>
        </w:rPr>
        <w:t xml:space="preserve">, </w:t>
      </w:r>
      <w:r>
        <w:rPr>
          <w:lang w:val="EN-GB"/>
        </w:rPr>
        <w:t xml:space="preserve">issues of legal professional privilege</w:t>
      </w:r>
      <w:r>
        <w:rPr>
          <w:lang w:val="EN-GB"/>
        </w:rPr>
        <w:t xml:space="preserve">, and reporting restrictions</w:t>
      </w:r>
      <w:r>
        <w:rPr>
          <w:lang w:val="EN-GB"/>
        </w:rPr>
        <w:t xml:space="preserve"> (during pupillage).</w:t>
      </w:r>
      <w:r>
        <w:rPr/>
        <w:t xml:space="preserve"> </w:t>
      </w:r>
    </w:p>
    <w:p/>
    <w:p>
      <w:pPr/>
      <w:r>
        <w:rPr>
          <w:lang w:val="EN-GB"/>
        </w:rPr>
        <w:t xml:space="preserve">Assist</w:t>
      </w:r>
      <w:r>
        <w:rPr>
          <w:lang w:val="EN-GB"/>
        </w:rPr>
        <w:t xml:space="preserve">ing</w:t>
      </w:r>
      <w:r>
        <w:rPr>
          <w:lang w:val="EN-GB"/>
        </w:rPr>
        <w:t xml:space="preserve"> with </w:t>
      </w:r>
      <w:r>
        <w:rPr>
          <w:lang w:val="EN-GB"/>
        </w:rPr>
        <w:t xml:space="preserve">preparation </w:t>
      </w:r>
      <w:r>
        <w:rPr>
          <w:lang w:val="EN-GB"/>
        </w:rPr>
        <w:t xml:space="preserve">of</w:t>
      </w:r>
      <w:r>
        <w:rPr>
          <w:lang w:val="EN-GB"/>
        </w:rPr>
        <w:t xml:space="preserve"> hearing seeking approval of a DPA</w:t>
      </w:r>
      <w:r>
        <w:rPr>
          <w:lang w:val="EN-GB"/>
        </w:rPr>
        <w:t xml:space="preserve">,</w:t>
      </w:r>
      <w:r>
        <w:rPr>
          <w:lang w:val="EN-GB"/>
        </w:rPr>
        <w:t xml:space="preserve"> </w:t>
      </w:r>
      <w:r>
        <w:rPr>
          <w:lang w:val="EN-GB"/>
        </w:rPr>
        <w:t xml:space="preserve">raising complex issues as to the anonymisation </w:t>
      </w:r>
      <w:r>
        <w:rPr>
          <w:lang w:val="EN-GB"/>
        </w:rPr>
        <w:t xml:space="preserve">of persons in the Statement of Facts</w:t>
      </w:r>
      <w:r>
        <w:rPr>
          <w:lang w:val="EN-GB"/>
        </w:rPr>
        <w:t xml:space="preserve"> restrictions (during pupillage).</w:t>
      </w:r>
      <w:r>
        <w:rPr/>
        <w:t xml:space="preserve"> </w:t>
      </w:r>
    </w:p>
    <w:p/>
    <w:p>
      <w:pPr/>
      <w:r>
        <w:rPr>
          <w:lang w:val="EN-GB"/>
        </w:rPr>
        <w:t xml:space="preserve">Assist</w:t>
      </w:r>
      <w:r>
        <w:rPr>
          <w:lang w:val="EN-GB"/>
        </w:rPr>
        <w:t xml:space="preserve">ing</w:t>
      </w:r>
      <w:r>
        <w:rPr>
          <w:lang w:val="EN-GB"/>
        </w:rPr>
        <w:t xml:space="preserve"> with advice </w:t>
      </w:r>
      <w:r>
        <w:rPr>
          <w:lang w:val="EN-GB"/>
        </w:rPr>
        <w:t xml:space="preserve">in relation to a </w:t>
      </w:r>
      <w:r>
        <w:rPr>
          <w:lang w:val="EN-GB"/>
        </w:rPr>
        <w:t xml:space="preserve">tax fraud </w:t>
      </w:r>
      <w:r>
        <w:rPr>
          <w:lang w:val="EN-GB"/>
        </w:rPr>
        <w:t xml:space="preserve">investigation </w:t>
      </w:r>
      <w:r>
        <w:rPr>
          <w:lang w:val="EN-GB"/>
        </w:rPr>
        <w:t xml:space="preserve">into</w:t>
      </w:r>
      <w:r>
        <w:rPr>
          <w:lang w:val="EN-GB"/>
        </w:rPr>
        <w:t xml:space="preserve"> </w:t>
      </w:r>
      <w:r>
        <w:rPr>
          <w:lang w:val="EN-GB"/>
        </w:rPr>
        <w:t xml:space="preserve">a</w:t>
      </w:r>
      <w:r>
        <w:rPr>
          <w:lang w:val="EN-GB"/>
        </w:rPr>
        <w:t xml:space="preserve"> high</w:t>
      </w:r>
      <w:r>
        <w:rPr>
          <w:lang w:val="EN-GB"/>
        </w:rPr>
        <w:t xml:space="preserve">-net-worth individual (during pupillage).</w:t>
      </w:r>
      <w:r>
        <w:rPr/>
        <w:t xml:space="preserve"> </w:t>
      </w:r>
    </w:p>
    <w:p/>
    <w:p>
      <w:pPr/>
      <w:r>
        <w:rPr>
          <w:lang w:val="EN-GB"/>
        </w:rPr>
        <w:t xml:space="preserve">Assist</w:t>
      </w:r>
      <w:r>
        <w:rPr>
          <w:lang w:val="EN-GB"/>
        </w:rPr>
        <w:t xml:space="preserve">ing</w:t>
      </w:r>
      <w:r>
        <w:rPr>
          <w:lang w:val="EN-GB"/>
        </w:rPr>
        <w:t xml:space="preserve"> with legal research on </w:t>
      </w:r>
      <w:r>
        <w:rPr>
          <w:lang w:val="EN-GB"/>
        </w:rPr>
        <w:t xml:space="preserve">dual criminality and transposition </w:t>
      </w:r>
      <w:r>
        <w:rPr>
          <w:lang w:val="EN-GB"/>
        </w:rPr>
        <w:t xml:space="preserve">of alleged breaches of foreign regulatory law </w:t>
      </w:r>
      <w:r>
        <w:rPr>
          <w:lang w:val="EN-GB"/>
        </w:rPr>
        <w:t xml:space="preserve">under POCA</w:t>
      </w:r>
      <w:r>
        <w:rPr>
          <w:lang w:val="EN-GB"/>
        </w:rPr>
        <w:t xml:space="preserve"> 2002 (during pupillage).</w:t>
      </w:r>
      <w:r>
        <w:rPr/>
        <w:t xml:space="preserve"> </w:t>
      </w:r>
    </w:p>
    <w:p/>
    <w:p>
      <w:pPr/>
      <w:r>
        <w:rPr>
          <w:lang w:val="EN-GB"/>
        </w:rPr>
        <w:t xml:space="preserve">Assist</w:t>
      </w:r>
      <w:r>
        <w:rPr>
          <w:lang w:val="EN-GB"/>
        </w:rPr>
        <w:t xml:space="preserve">ing</w:t>
      </w:r>
      <w:r>
        <w:rPr>
          <w:lang w:val="EN-GB"/>
        </w:rPr>
        <w:t xml:space="preserve"> </w:t>
      </w:r>
      <w:r>
        <w:rPr>
          <w:lang w:val="EN-GB"/>
        </w:rPr>
        <w:t xml:space="preserve">with legal research on</w:t>
      </w:r>
      <w:r>
        <w:rPr>
          <w:lang w:val="EN-GB"/>
        </w:rPr>
        <w:t xml:space="preserve"> issues of causation and proportionality </w:t>
      </w:r>
      <w:r>
        <w:rPr>
          <w:lang w:val="EN-GB"/>
        </w:rPr>
        <w:t xml:space="preserve">in proceedings for civil recovery of s</w:t>
      </w:r>
      <w:r>
        <w:rPr>
          <w:lang w:val="EN-GB"/>
        </w:rPr>
        <w:t xml:space="preserve">ums alleged to be associated with money laundering operations</w:t>
      </w:r>
      <w:r>
        <w:rPr>
          <w:lang w:val="EN-GB"/>
        </w:rPr>
        <w:t xml:space="preserve"> under POCA 2002 </w:t>
      </w:r>
      <w:r>
        <w:rPr>
          <w:lang w:val="EN-GB"/>
        </w:rPr>
        <w:t xml:space="preserve">Part 5 </w:t>
      </w:r>
      <w:r>
        <w:rPr>
          <w:lang w:val="EN-GB"/>
        </w:rPr>
        <w:t xml:space="preserve">(during pupillage).</w:t>
      </w:r>
      <w:r>
        <w:rPr/>
        <w:t xml:space="preserve"> </w:t>
      </w:r>
    </w:p>
    <w:p/>
    <w:p>
      <w:pPr>
        <w:pStyle w:val="Heading3"/>
      </w:pPr>
      <w:bookmarkStart w:id="15" w:name="_Toc15"/>
      <w:r>
        <w:t>Commercial Disputes</w:t>
      </w:r>
      <w:bookmarkEnd w:id="15"/>
    </w:p>
    <w:p/>
    <w:p>
      <w:pPr>
        <w:pStyle w:val="Heading4"/>
      </w:pPr>
      <w:bookmarkStart w:id="16" w:name="_Toc16"/>
      <w:r>
        <w:t>Notable cases</w:t>
      </w:r>
      <w:bookmarkEnd w:id="16"/>
    </w:p>
    <w:p>
      <w:pPr/>
      <w:r>
        <w:rPr>
          <w:lang w:val="EN-GB"/>
        </w:rPr>
        <w:t xml:space="preserve">Assisting</w:t>
      </w:r>
      <w:r>
        <w:rPr>
          <w:lang w:val="EN-GB"/>
        </w:rPr>
        <w:t xml:space="preserve"> with pleadings in a</w:t>
      </w:r>
      <w:r>
        <w:rPr>
          <w:lang w:val="EN-GB"/>
        </w:rPr>
        <w:t xml:space="preserve"> claim concerning</w:t>
      </w:r>
      <w:r>
        <w:rPr>
          <w:lang w:val="EN-GB"/>
        </w:rPr>
        <w:t xml:space="preserve"> </w:t>
      </w:r>
      <w:r>
        <w:rPr>
          <w:lang w:val="EN-GB"/>
        </w:rPr>
        <w:t xml:space="preserve">supply of </w:t>
      </w:r>
      <w:r>
        <w:rPr>
          <w:lang w:val="EN-GB"/>
        </w:rPr>
        <w:t xml:space="preserve">defective goods</w:t>
      </w:r>
      <w:r>
        <w:rPr>
          <w:lang w:val="EN-GB"/>
        </w:rPr>
        <w:t xml:space="preserve">, </w:t>
      </w:r>
      <w:r>
        <w:rPr>
          <w:lang w:val="EN-GB"/>
        </w:rPr>
        <w:t xml:space="preserve">interference with </w:t>
      </w:r>
      <w:r>
        <w:rPr>
          <w:lang w:val="EN-GB"/>
        </w:rPr>
        <w:t xml:space="preserve">title, </w:t>
      </w:r>
      <w:r>
        <w:rPr>
          <w:lang w:val="EN-GB"/>
        </w:rPr>
        <w:t xml:space="preserve">inducing breach of contract, and restitution (during pupillage).</w:t>
      </w:r>
      <w:r>
        <w:rPr/>
        <w:t xml:space="preserve"> </w:t>
      </w:r>
    </w:p>
    <w:p/>
    <w:p>
      <w:pPr/>
      <w:r>
        <w:rPr>
          <w:lang w:val="EN-GB"/>
        </w:rPr>
        <w:t xml:space="preserve">Assisting</w:t>
      </w:r>
      <w:r>
        <w:rPr>
          <w:lang w:val="EN-GB"/>
        </w:rPr>
        <w:t xml:space="preserve"> with advising on </w:t>
      </w:r>
      <w:r>
        <w:rPr>
          <w:lang w:val="EN-GB"/>
        </w:rPr>
        <w:t xml:space="preserve">a</w:t>
      </w:r>
      <w:r>
        <w:rPr>
          <w:lang w:val="EN-GB"/>
        </w:rPr>
        <w:t xml:space="preserve"> </w:t>
      </w:r>
      <w:r>
        <w:rPr>
          <w:lang w:val="EN-GB"/>
        </w:rPr>
        <w:t xml:space="preserve">contractual </w:t>
      </w:r>
      <w:r>
        <w:rPr>
          <w:lang w:val="EN-GB"/>
        </w:rPr>
        <w:t xml:space="preserve">entitlement to recover for</w:t>
      </w:r>
      <w:r>
        <w:rPr>
          <w:lang w:val="EN-GB"/>
        </w:rPr>
        <w:t xml:space="preserve"> increased insurance premiums arising </w:t>
      </w:r>
      <w:r>
        <w:rPr>
          <w:lang w:val="EN-GB"/>
        </w:rPr>
        <w:t xml:space="preserve">as a result of</w:t>
      </w:r>
      <w:r>
        <w:rPr>
          <w:lang w:val="EN-GB"/>
        </w:rPr>
        <w:t xml:space="preserve"> a</w:t>
      </w:r>
      <w:r>
        <w:rPr>
          <w:lang w:val="EN-GB"/>
        </w:rPr>
        <w:t xml:space="preserve">nother</w:t>
      </w:r>
      <w:r>
        <w:rPr>
          <w:lang w:val="EN-GB"/>
        </w:rPr>
        <w:t xml:space="preserve"> party’s claims history</w:t>
      </w:r>
      <w:r>
        <w:rPr>
          <w:lang w:val="EN-GB"/>
        </w:rPr>
        <w:t xml:space="preserve">,</w:t>
      </w:r>
      <w:r>
        <w:rPr>
          <w:lang w:val="EN-GB"/>
        </w:rPr>
        <w:t xml:space="preserve"> in the context of a multiparty insurance arrangement</w:t>
      </w:r>
      <w:r>
        <w:rPr>
          <w:lang w:val="EN-GB"/>
        </w:rPr>
        <w:t xml:space="preserve"> (during pupillage).</w:t>
      </w:r>
      <w:r>
        <w:rPr>
          <w:lang w:val="EN-GB"/>
        </w:rPr>
        <w:t xml:space="preserve"> </w:t>
      </w:r>
      <w:r>
        <w:rPr/>
        <w:t xml:space="preserve"> </w:t>
      </w:r>
    </w:p>
    <w:p/>
    <w:p>
      <w:pPr/>
      <w:r>
        <w:rPr>
          <w:lang w:val="EN-GB"/>
        </w:rPr>
        <w:t xml:space="preserve">Assisting</w:t>
      </w:r>
      <w:r>
        <w:rPr>
          <w:lang w:val="EN-GB"/>
        </w:rPr>
        <w:t xml:space="preserve"> with pleadings in a</w:t>
      </w:r>
      <w:r>
        <w:rPr>
          <w:lang w:val="EN-GB"/>
        </w:rPr>
        <w:t xml:space="preserve"> claim for nonpayment of share price and earn out payments, seeking </w:t>
      </w:r>
      <w:r>
        <w:rPr>
          <w:lang w:val="EN-GB"/>
        </w:rPr>
        <w:t xml:space="preserve">an</w:t>
      </w:r>
      <w:r>
        <w:rPr>
          <w:lang w:val="EN-GB"/>
        </w:rPr>
        <w:t xml:space="preserve"> order for an</w:t>
      </w:r>
      <w:r>
        <w:rPr>
          <w:lang w:val="EN-GB"/>
        </w:rPr>
        <w:t xml:space="preserve"> account</w:t>
      </w:r>
      <w:r>
        <w:rPr>
          <w:lang w:val="EN-GB"/>
        </w:rPr>
        <w:t xml:space="preserve">/specific performance </w:t>
      </w:r>
      <w:r>
        <w:rPr>
          <w:lang w:val="EN-GB"/>
        </w:rPr>
        <w:t xml:space="preserve">(during pupillage).</w:t>
      </w:r>
      <w:r>
        <w:rPr/>
        <w:t xml:space="preserve"> </w:t>
      </w:r>
    </w:p>
    <w:p/>
    <w:p>
      <w:pPr>
        <w:pStyle w:val="Heading3"/>
      </w:pPr>
      <w:bookmarkStart w:id="17" w:name="_Toc17"/>
      <w:r>
        <w:t>Company, Restructuring &amp; Insolvency</w:t>
      </w:r>
      <w:bookmarkEnd w:id="17"/>
    </w:p>
    <w:p/>
    <w:p>
      <w:pPr>
        <w:pStyle w:val="Heading4"/>
      </w:pPr>
      <w:bookmarkStart w:id="18" w:name="_Toc18"/>
      <w:r>
        <w:t>Notable cases</w:t>
      </w:r>
      <w:bookmarkEnd w:id="18"/>
    </w:p>
    <w:p>
      <w:pPr/>
      <w:r>
        <w:rPr>
          <w:lang w:val="EN-GB"/>
        </w:rPr>
        <w:t xml:space="preserve">Assisting </w:t>
      </w:r>
      <w:r>
        <w:rPr>
          <w:lang w:val="EN-GB"/>
        </w:rPr>
        <w:t xml:space="preserve">with </w:t>
      </w:r>
      <w:r>
        <w:rPr>
          <w:lang w:val="EN-GB"/>
        </w:rPr>
        <w:t xml:space="preserve">legal </w:t>
      </w:r>
      <w:r>
        <w:rPr>
          <w:lang w:val="EN-GB"/>
        </w:rPr>
        <w:t xml:space="preserve">research and drafting submissions, including on extraterritorial application of section 423 IA and the applicable law in claims for inducing breach of contract/unlawful means conspiracy, in a claim involving fraudulent misappropriation of shares amounting to a transaction at an undervalue with the intention of defrauding creditors </w:t>
      </w:r>
      <w:r>
        <w:rPr>
          <w:lang w:val="EN-GB"/>
        </w:rPr>
        <w:t xml:space="preserve">(during pupillage).</w:t>
      </w:r>
      <w:r>
        <w:rPr/>
        <w:t xml:space="preserve"> </w:t>
      </w:r>
    </w:p>
    <w:p/>
    <w:p>
      <w:pPr>
        <w:pStyle w:val="Heading3"/>
      </w:pPr>
      <w:bookmarkStart w:id="19" w:name="_Toc19"/>
      <w:r>
        <w:t>Competition</w:t>
      </w:r>
      <w:bookmarkEnd w:id="19"/>
    </w:p>
    <w:p/>
    <w:p>
      <w:pPr>
        <w:pStyle w:val="Heading4"/>
      </w:pPr>
      <w:bookmarkStart w:id="20" w:name="_Toc20"/>
      <w:r>
        <w:t>Notable cases</w:t>
      </w:r>
      <w:bookmarkEnd w:id="20"/>
    </w:p>
    <w:p>
      <w:pPr/>
      <w:r>
        <w:rPr>
          <w:lang w:val="EN-GB"/>
        </w:rPr>
        <w:t xml:space="preserve">Assisting</w:t>
      </w:r>
      <w:r>
        <w:rPr>
          <w:lang w:val="EN-GB"/>
        </w:rPr>
        <w:t xml:space="preserve"> </w:t>
      </w:r>
      <w:r>
        <w:rPr>
          <w:lang w:val="EN-GB"/>
        </w:rPr>
        <w:t xml:space="preserve">with </w:t>
      </w:r>
      <w:r>
        <w:rPr>
          <w:lang w:val="EN-GB"/>
        </w:rPr>
        <w:t xml:space="preserve">legal </w:t>
      </w:r>
      <w:r>
        <w:rPr>
          <w:lang w:val="EN-GB"/>
        </w:rPr>
        <w:t xml:space="preserve">research and pleadings in a dispute </w:t>
      </w:r>
      <w:r>
        <w:rPr>
          <w:lang w:val="EN-GB"/>
        </w:rPr>
        <w:t xml:space="preserve">involving </w:t>
      </w:r>
      <w:r>
        <w:rPr>
          <w:lang w:val="EN-GB"/>
        </w:rPr>
        <w:t xml:space="preserve">contractual </w:t>
      </w:r>
      <w:r>
        <w:rPr>
          <w:lang w:val="EN-GB"/>
        </w:rPr>
        <w:t xml:space="preserve">IP and </w:t>
      </w:r>
      <w:r>
        <w:rPr>
          <w:lang w:val="EN-GB"/>
        </w:rPr>
        <w:t xml:space="preserve">parallel import</w:t>
      </w:r>
      <w:r>
        <w:rPr>
          <w:lang w:val="EN-GB"/>
        </w:rPr>
        <w:t xml:space="preserve"> </w:t>
      </w:r>
      <w:r>
        <w:rPr>
          <w:lang w:val="EN-GB"/>
        </w:rPr>
        <w:t xml:space="preserve">restrictions</w:t>
      </w:r>
      <w:r>
        <w:rPr>
          <w:lang w:val="EN-GB"/>
        </w:rPr>
        <w:t xml:space="preserve"> </w:t>
      </w:r>
      <w:r>
        <w:rPr>
          <w:lang w:val="EN-GB"/>
        </w:rPr>
        <w:t xml:space="preserve">alleged to be </w:t>
      </w:r>
      <w:r>
        <w:rPr>
          <w:lang w:val="EN-GB"/>
        </w:rPr>
        <w:t xml:space="preserve">anticompetitive </w:t>
      </w:r>
      <w:r>
        <w:rPr>
          <w:lang w:val="EN-GB"/>
        </w:rPr>
        <w:t xml:space="preserve">by object or by effect</w:t>
      </w:r>
      <w:r>
        <w:rPr>
          <w:lang w:val="EN-GB"/>
        </w:rPr>
        <w:t xml:space="preserve">, involving questions of EU law applicability </w:t>
      </w:r>
      <w:r>
        <w:rPr>
          <w:lang w:val="EN-GB"/>
        </w:rPr>
        <w:t xml:space="preserve">versus contractual enforcement </w:t>
      </w:r>
      <w:r>
        <w:rPr>
          <w:lang w:val="EN-GB"/>
        </w:rPr>
        <w:t xml:space="preserve">(during pupillage).</w:t>
      </w:r>
      <w:r>
        <w:rPr/>
        <w:t xml:space="preserve"> </w:t>
      </w:r>
    </w:p>
    <w:p/>
    <w:p>
      <w:pPr/>
      <w:r>
        <w:rPr>
          <w:lang w:val="EN-GB"/>
        </w:rPr>
        <w:t xml:space="preserve">Assisting</w:t>
      </w:r>
      <w:r>
        <w:rPr>
          <w:lang w:val="EN-GB"/>
        </w:rPr>
        <w:t xml:space="preserve"> </w:t>
      </w:r>
      <w:r>
        <w:rPr>
          <w:lang w:val="EN-GB"/>
        </w:rPr>
        <w:t xml:space="preserve">with drafting submissions </w:t>
      </w:r>
      <w:r>
        <w:rPr>
          <w:lang w:val="EN-GB"/>
        </w:rPr>
        <w:t xml:space="preserve">on disclosure issues </w:t>
      </w:r>
      <w:r>
        <w:rPr>
          <w:lang w:val="EN-GB"/>
        </w:rPr>
        <w:t xml:space="preserve">in </w:t>
      </w:r>
      <w:r>
        <w:rPr>
          <w:lang w:val="EN-GB"/>
        </w:rPr>
        <w:t xml:space="preserve">collective proceedings concerning alleged abuse of a dominant position in the ad tech market and claims for damages arising from anti-competitive conduct</w:t>
      </w:r>
      <w:r>
        <w:rPr>
          <w:lang w:val="EN-GB"/>
        </w:rPr>
        <w:t xml:space="preserve"> (during pupillage).</w:t>
      </w:r>
      <w:r>
        <w:rPr/>
        <w:t xml:space="preserve"> </w:t>
      </w:r>
    </w:p>
    <w:p/>
    <w:p>
      <w:pPr>
        <w:pStyle w:val="Heading3"/>
      </w:pPr>
      <w:bookmarkStart w:id="21" w:name="_Toc21"/>
      <w:r>
        <w:t>Financial Services</w:t>
      </w:r>
      <w:bookmarkEnd w:id="21"/>
    </w:p>
    <w:p/>
    <w:p>
      <w:pPr>
        <w:pStyle w:val="Heading4"/>
      </w:pPr>
      <w:bookmarkStart w:id="22" w:name="_Toc22"/>
      <w:r>
        <w:t>Notable cases</w:t>
      </w:r>
      <w:bookmarkEnd w:id="22"/>
    </w:p>
    <w:p>
      <w:pPr/>
      <w:r>
        <w:rPr>
          <w:lang w:val="EN-GB"/>
        </w:rPr>
        <w:t xml:space="preserve">Assisting</w:t>
      </w:r>
      <w:r>
        <w:rPr>
          <w:lang w:val="EN-GB"/>
        </w:rPr>
        <w:t xml:space="preserve"> </w:t>
      </w:r>
      <w:r>
        <w:rPr>
          <w:lang w:val="EN-GB"/>
        </w:rPr>
        <w:t xml:space="preserve">with</w:t>
      </w:r>
      <w:r>
        <w:rPr>
          <w:lang w:val="EN-GB"/>
        </w:rPr>
        <w:t xml:space="preserve"> legal</w:t>
      </w:r>
      <w:r>
        <w:rPr>
          <w:lang w:val="EN-GB"/>
        </w:rPr>
        <w:t xml:space="preserve"> research into </w:t>
      </w:r>
      <w:r>
        <w:rPr>
          <w:lang w:val="EN-GB"/>
        </w:rPr>
        <w:t xml:space="preserve">the exercise of the </w:t>
      </w:r>
      <w:r>
        <w:rPr>
          <w:lang w:val="EN-GB"/>
        </w:rPr>
        <w:t xml:space="preserve">FCA’s</w:t>
      </w:r>
      <w:r>
        <w:rPr>
          <w:lang w:val="EN-GB"/>
        </w:rPr>
        <w:t xml:space="preserve"> </w:t>
      </w:r>
      <w:r>
        <w:rPr>
          <w:lang w:val="EN-GB"/>
        </w:rPr>
        <w:t xml:space="preserve">statutory powers</w:t>
      </w:r>
      <w:r>
        <w:rPr>
          <w:lang w:val="EN-GB"/>
        </w:rPr>
        <w:t xml:space="preserve"> in the context of a </w:t>
      </w:r>
      <w:r>
        <w:rPr>
          <w:lang w:val="EN-GB"/>
        </w:rPr>
        <w:t xml:space="preserve">challenge</w:t>
      </w:r>
      <w:r>
        <w:rPr>
          <w:lang w:val="EN-GB"/>
        </w:rPr>
        <w:t xml:space="preserve"> brought </w:t>
      </w:r>
      <w:r>
        <w:rPr>
          <w:lang w:val="EN-GB"/>
        </w:rPr>
        <w:t xml:space="preserve">against a consumer redress scheme</w:t>
      </w:r>
      <w:r>
        <w:rPr>
          <w:lang w:val="EN-GB"/>
        </w:rPr>
        <w:t xml:space="preserve"> in Upper Tribunal proceedings </w:t>
      </w:r>
      <w:r>
        <w:rPr>
          <w:lang w:val="EN-GB"/>
        </w:rPr>
        <w:t xml:space="preserve">(during pupillage).</w:t>
      </w:r>
      <w:r>
        <w:rPr/>
        <w:t xml:space="preserve"> </w:t>
      </w:r>
    </w:p>
    <w:p/>
    <w:p>
      <w:pPr>
        <w:pStyle w:val="Heading3"/>
      </w:pPr>
      <w:bookmarkStart w:id="23" w:name="_Toc23"/>
      <w:r>
        <w:t>Group Litigation</w:t>
      </w:r>
      <w:bookmarkEnd w:id="23"/>
    </w:p>
    <w:p/>
    <w:p>
      <w:pPr>
        <w:pStyle w:val="Heading4"/>
      </w:pPr>
      <w:bookmarkStart w:id="24" w:name="_Toc24"/>
      <w:r>
        <w:t>Notable cases</w:t>
      </w:r>
      <w:bookmarkEnd w:id="24"/>
    </w:p>
    <w:p>
      <w:pPr/>
      <w:r>
        <w:rPr>
          <w:lang w:val="EN-GB"/>
        </w:rPr>
        <w:t xml:space="preserve">Assisting</w:t>
      </w:r>
      <w:r>
        <w:rPr>
          <w:lang w:val="EN-GB"/>
        </w:rPr>
        <w:t xml:space="preserve"> </w:t>
      </w:r>
      <w:r>
        <w:rPr>
          <w:lang w:val="EN-GB"/>
        </w:rPr>
        <w:t xml:space="preserve">with drafting submissions on disclosure issues in collective proceedings concerning alleged abuse of a dominant position in the ad tech market and claims for damages arising from anti-competitive conduct (during pupillage).</w:t>
      </w:r>
      <w:r>
        <w:rPr/>
        <w:t xml:space="preserve"> </w:t>
      </w:r>
    </w:p>
    <w:p/>
    <w:p>
      <w:pPr>
        <w:pStyle w:val="Heading3"/>
      </w:pPr>
      <w:bookmarkStart w:id="25" w:name="_Toc25"/>
      <w:r>
        <w:t>Insurance &amp;amp; Reinsurance</w:t>
      </w:r>
      <w:bookmarkEnd w:id="25"/>
    </w:p>
    <w:p/>
    <w:p>
      <w:pPr>
        <w:pStyle w:val="Heading4"/>
      </w:pPr>
      <w:bookmarkStart w:id="26" w:name="_Toc26"/>
      <w:r>
        <w:t>Notable cases</w:t>
      </w:r>
      <w:bookmarkEnd w:id="26"/>
    </w:p>
    <w:p>
      <w:pPr/>
      <w:r>
        <w:rPr>
          <w:lang w:val="EN-GB"/>
        </w:rPr>
        <w:t xml:space="preserve">Assisting</w:t>
      </w:r>
      <w:r>
        <w:rPr>
          <w:lang w:val="EN-GB"/>
        </w:rPr>
        <w:t xml:space="preserve"> </w:t>
      </w:r>
      <w:r>
        <w:rPr>
          <w:lang w:val="EN-GB"/>
        </w:rPr>
        <w:t xml:space="preserve">with</w:t>
      </w:r>
      <w:r>
        <w:rPr>
          <w:lang w:val="EN-GB"/>
        </w:rPr>
        <w:t xml:space="preserve"> legal</w:t>
      </w:r>
      <w:r>
        <w:rPr>
          <w:lang w:val="EN-GB"/>
        </w:rPr>
        <w:t xml:space="preserve"> research on Rome I/Rome II conflicts of law issues</w:t>
      </w:r>
      <w:r>
        <w:rPr>
          <w:lang w:val="EN-GB"/>
        </w:rPr>
        <w:t xml:space="preserve">, service out, and </w:t>
      </w:r>
      <w:r>
        <w:rPr>
          <w:lang w:val="EN-GB"/>
        </w:rPr>
        <w:t xml:space="preserve">recoverability of consequential loss </w:t>
      </w:r>
      <w:r>
        <w:rPr>
          <w:lang w:val="EN-GB"/>
        </w:rPr>
        <w:t xml:space="preserve">in a concurrent </w:t>
      </w:r>
      <w:r>
        <w:rPr>
          <w:lang w:val="EN-GB"/>
        </w:rPr>
        <w:t xml:space="preserve">breach of contract and professional negligence claim </w:t>
      </w:r>
      <w:r>
        <w:rPr>
          <w:lang w:val="EN-GB"/>
        </w:rPr>
        <w:t xml:space="preserve">involving insurance brokers and</w:t>
      </w:r>
      <w:r>
        <w:rPr>
          <w:lang w:val="EN-GB"/>
        </w:rPr>
        <w:t xml:space="preserve"> business interruption </w:t>
      </w:r>
      <w:r>
        <w:rPr>
          <w:lang w:val="EN-GB"/>
        </w:rPr>
        <w:t xml:space="preserve">coverage</w:t>
      </w:r>
      <w:r>
        <w:rPr>
          <w:lang w:val="EN-GB"/>
        </w:rPr>
        <w:t xml:space="preserve"> (during pupillage).</w:t>
      </w:r>
      <w:r>
        <w:rPr/>
        <w:t xml:space="preserve"> </w:t>
      </w:r>
    </w:p>
    <w:p/>
    <w:p>
      <w:pPr/>
      <w:r>
        <w:rPr>
          <w:lang w:val="EN-GB"/>
        </w:rPr>
        <w:t xml:space="preserve">Assisting</w:t>
      </w:r>
      <w:r>
        <w:rPr>
          <w:lang w:val="EN-GB"/>
        </w:rPr>
        <w:t xml:space="preserve"> with pleadings in a complicated, high-value EL/PL insurance dispute arising out of catastrophic personal injuries and involving issues of avoidance for alleged breach of the duty of fair presentation (during pupillage).</w:t>
      </w:r>
      <w:r>
        <w:rPr/>
        <w:t xml:space="preserve"> </w:t>
      </w:r>
    </w:p>
    <w:p/>
    <w:p>
      <w:pPr>
        <w:pStyle w:val="Heading3"/>
      </w:pPr>
      <w:bookmarkStart w:id="27" w:name="_Toc27"/>
      <w:r>
        <w:t>International Arbitration</w:t>
      </w:r>
      <w:bookmarkEnd w:id="27"/>
    </w:p>
    <w:p/>
    <w:p>
      <w:pPr>
        <w:pStyle w:val="Heading4"/>
      </w:pPr>
      <w:bookmarkStart w:id="28" w:name="_Toc28"/>
      <w:r>
        <w:t>Notable cases</w:t>
      </w:r>
      <w:bookmarkEnd w:id="28"/>
    </w:p>
    <w:p>
      <w:pPr/>
      <w:r>
        <w:rPr>
          <w:lang w:val="EN-GB"/>
        </w:rPr>
        <w:t xml:space="preserve">Assisting </w:t>
      </w:r>
      <w:r>
        <w:rPr>
          <w:lang w:val="EN-GB"/>
        </w:rPr>
        <w:t xml:space="preserve">with an</w:t>
      </w:r>
      <w:r>
        <w:rPr>
          <w:lang w:val="EN-GB"/>
        </w:rPr>
        <w:t xml:space="preserve"> </w:t>
      </w:r>
      <w:r>
        <w:rPr>
          <w:lang w:val="EN-GB"/>
        </w:rPr>
        <w:t xml:space="preserve">LCIA</w:t>
      </w:r>
      <w:r>
        <w:rPr>
          <w:lang w:val="EN-GB"/>
        </w:rPr>
        <w:t xml:space="preserve"> arbitration arising from a contractual dispute concerning sponsorship of a </w:t>
      </w:r>
      <w:r>
        <w:rPr>
          <w:lang w:val="EN-GB"/>
        </w:rPr>
        <w:t xml:space="preserve">prominent</w:t>
      </w:r>
      <w:r>
        <w:rPr>
          <w:lang w:val="EN-GB"/>
        </w:rPr>
        <w:t xml:space="preserve"> football club (during pupillage).</w:t>
      </w:r>
      <w:r>
        <w:rPr/>
        <w:t xml:space="preserve"> </w:t>
      </w:r>
    </w:p>
    <w:p/>
    <w:p>
      <w:pPr/>
      <w:r>
        <w:rPr>
          <w:lang w:val="EN-GB"/>
        </w:rPr>
        <w:t xml:space="preserve">Assisting </w:t>
      </w:r>
      <w:r>
        <w:rPr>
          <w:lang w:val="EN-GB"/>
        </w:rPr>
        <w:t xml:space="preserve">with </w:t>
      </w:r>
      <w:r>
        <w:rPr>
          <w:lang w:val="EN-GB"/>
        </w:rPr>
        <w:t xml:space="preserve">an </w:t>
      </w:r>
      <w:r>
        <w:rPr>
          <w:lang w:val="EN-GB"/>
        </w:rPr>
        <w:t xml:space="preserve">LCIA</w:t>
      </w:r>
      <w:r>
        <w:rPr>
          <w:lang w:val="EN-GB"/>
        </w:rPr>
        <w:t xml:space="preserve"> </w:t>
      </w:r>
      <w:r>
        <w:rPr>
          <w:lang w:val="EN-GB"/>
        </w:rPr>
        <w:t xml:space="preserve">arbitration</w:t>
      </w:r>
      <w:r>
        <w:rPr>
          <w:lang w:val="EN-GB"/>
        </w:rPr>
        <w:t xml:space="preserve"> </w:t>
      </w:r>
      <w:r>
        <w:rPr>
          <w:lang w:val="EN-GB"/>
        </w:rPr>
        <w:t xml:space="preserve">arising from a contractual dispute </w:t>
      </w:r>
      <w:r>
        <w:rPr>
          <w:lang w:val="EN-GB"/>
        </w:rPr>
        <w:t xml:space="preserve">involving sport broadcast rights</w:t>
      </w:r>
      <w:r>
        <w:rPr>
          <w:lang w:val="EN-GB"/>
        </w:rPr>
        <w:t xml:space="preserve">, on </w:t>
      </w:r>
      <w:r>
        <w:rPr>
          <w:lang w:val="EN-GB"/>
        </w:rPr>
        <w:t xml:space="preserve">issues of enforceability of foreign laws</w:t>
      </w:r>
      <w:r>
        <w:rPr>
          <w:lang w:val="EN-GB"/>
        </w:rPr>
        <w:t xml:space="preserve"> (during pupillage).</w:t>
      </w:r>
      <w:r>
        <w:rPr/>
        <w:t xml:space="preserve"> </w:t>
      </w:r>
    </w:p>
    <w:p/>
    <w:p>
      <w:pPr>
        <w:pStyle w:val="Heading3"/>
      </w:pPr>
      <w:bookmarkStart w:id="29" w:name="_Toc29"/>
      <w:r>
        <w:t>Media &amp; Entertainment</w:t>
      </w:r>
      <w:bookmarkEnd w:id="29"/>
    </w:p>
    <w:p/>
    <w:p>
      <w:pPr>
        <w:pStyle w:val="Heading4"/>
      </w:pPr>
      <w:bookmarkStart w:id="30" w:name="_Toc30"/>
      <w:r>
        <w:t>Notable cases</w:t>
      </w:r>
      <w:bookmarkEnd w:id="30"/>
    </w:p>
    <w:p>
      <w:pPr/>
      <w:r>
        <w:rPr>
          <w:lang w:val="EN-GB"/>
        </w:rPr>
        <w:t xml:space="preserve">Assisting </w:t>
      </w:r>
      <w:r>
        <w:rPr>
          <w:lang w:val="EN-GB"/>
        </w:rPr>
        <w:t xml:space="preserve">with an </w:t>
      </w:r>
      <w:r>
        <w:rPr>
          <w:lang w:val="EN-GB"/>
        </w:rPr>
        <w:t xml:space="preserve">LCIA</w:t>
      </w:r>
      <w:r>
        <w:rPr>
          <w:lang w:val="EN-GB"/>
        </w:rPr>
        <w:t xml:space="preserve"> </w:t>
      </w:r>
      <w:r>
        <w:rPr>
          <w:lang w:val="EN-GB"/>
        </w:rPr>
        <w:t xml:space="preserve">arbitration arising from a contractual dispute involving sport broadcast rights, on issues of enforceability of foreign laws (during pupillage).</w:t>
      </w:r>
      <w:r>
        <w:rPr/>
        <w:t xml:space="preserve"> </w:t>
      </w:r>
    </w:p>
    <w:p/>
    <w:p>
      <w:pPr>
        <w:pStyle w:val="Heading3"/>
      </w:pPr>
      <w:bookmarkStart w:id="31" w:name="_Toc31"/>
      <w:r>
        <w:t>Privilege, Confidentiality &amp; Conflicts of Interest</w:t>
      </w:r>
      <w:bookmarkEnd w:id="31"/>
    </w:p>
    <w:p/>
    <w:p>
      <w:pPr>
        <w:pStyle w:val="Heading4"/>
      </w:pPr>
      <w:bookmarkStart w:id="32" w:name="_Toc32"/>
      <w:r>
        <w:t>Notable cases</w:t>
      </w:r>
      <w:bookmarkEnd w:id="32"/>
    </w:p>
    <w:p>
      <w:pPr/>
      <w:r>
        <w:rPr>
          <w:lang w:val="EN-GB"/>
        </w:rPr>
        <w:t xml:space="preserve">Assisting</w:t>
      </w:r>
      <w:r>
        <w:rPr>
          <w:lang w:val="EN-GB"/>
        </w:rPr>
        <w:t xml:space="preserve"> </w:t>
      </w:r>
      <w:r>
        <w:rPr>
          <w:lang w:val="EN-GB"/>
        </w:rPr>
        <w:t xml:space="preserve">with </w:t>
      </w:r>
      <w:r>
        <w:rPr>
          <w:lang w:val="EN-GB"/>
        </w:rPr>
        <w:t xml:space="preserve">legal </w:t>
      </w:r>
      <w:r>
        <w:rPr>
          <w:lang w:val="EN-GB"/>
        </w:rPr>
        <w:t xml:space="preserve">research </w:t>
      </w:r>
      <w:r>
        <w:rPr>
          <w:lang w:val="EN-GB"/>
        </w:rPr>
        <w:t xml:space="preserve">into the scope of the </w:t>
      </w:r>
      <w:r>
        <w:rPr>
          <w:lang w:val="EN-GB"/>
        </w:rPr>
        <w:t xml:space="preserve">SRA’s</w:t>
      </w:r>
      <w:r>
        <w:rPr>
          <w:lang w:val="EN-GB"/>
        </w:rPr>
        <w:t xml:space="preserve"> statutory powers to compel the production of legally privileged material in regulatory investigations </w:t>
      </w:r>
      <w:r>
        <w:rPr>
          <w:lang w:val="EN-GB"/>
        </w:rPr>
        <w:t xml:space="preserve">(during pupillage).</w:t>
      </w:r>
      <w:r>
        <w:rPr/>
        <w:t xml:space="preserve"> </w:t>
      </w:r>
    </w:p>
    <w:p/>
    <w:p>
      <w:pPr/>
      <w:r>
        <w:rPr>
          <w:lang w:val="EN-GB"/>
        </w:rPr>
        <w:t xml:space="preserve">Assisting</w:t>
      </w:r>
      <w:r>
        <w:rPr>
          <w:lang w:val="EN-GB"/>
        </w:rPr>
        <w:t xml:space="preserve"> with advice and submissions in relation to civil matters </w:t>
      </w:r>
      <w:r>
        <w:rPr>
          <w:lang w:val="EN-GB"/>
        </w:rPr>
        <w:t xml:space="preserve">adjacent to</w:t>
      </w:r>
      <w:r>
        <w:rPr>
          <w:lang w:val="EN-GB"/>
        </w:rPr>
        <w:t xml:space="preserve"> </w:t>
      </w:r>
      <w:r>
        <w:rPr>
          <w:lang w:val="EN-GB"/>
        </w:rPr>
        <w:t xml:space="preserve">Entain</w:t>
      </w:r>
      <w:r>
        <w:rPr>
          <w:lang w:val="EN-GB"/>
        </w:rPr>
        <w:t xml:space="preserve"> DPA which concern investor claims and issues of legal professional privilege (during pupillage).</w:t>
      </w:r>
      <w:r>
        <w:rPr/>
        <w:t xml:space="preserve"> </w:t>
      </w:r>
    </w:p>
    <w:p/>
    <w:p>
      <w:pPr>
        <w:pStyle w:val="Heading3"/>
      </w:pPr>
      <w:bookmarkStart w:id="33" w:name="_Toc33"/>
      <w:r>
        <w:t>Professional Discipline</w:t>
      </w:r>
      <w:bookmarkEnd w:id="33"/>
    </w:p>
    <w:p/>
    <w:p>
      <w:pPr>
        <w:pStyle w:val="Heading4"/>
      </w:pPr>
      <w:bookmarkStart w:id="34" w:name="_Toc34"/>
      <w:r>
        <w:t>Notable cases</w:t>
      </w:r>
      <w:bookmarkEnd w:id="34"/>
    </w:p>
    <w:p>
      <w:pPr/>
      <w:r>
        <w:rPr>
          <w:lang w:val="EN-GB"/>
        </w:rPr>
        <w:t xml:space="preserve">Assisting</w:t>
      </w:r>
      <w:r>
        <w:rPr>
          <w:lang w:val="EN-GB"/>
        </w:rPr>
        <w:t xml:space="preserve"> </w:t>
      </w:r>
      <w:r>
        <w:rPr>
          <w:lang w:val="EN-GB"/>
        </w:rPr>
        <w:t xml:space="preserve">with advi</w:t>
      </w:r>
      <w:r>
        <w:rPr>
          <w:lang w:val="EN-GB"/>
        </w:rPr>
        <w:t xml:space="preserve">c</w:t>
      </w:r>
      <w:r>
        <w:rPr>
          <w:lang w:val="EN-GB"/>
        </w:rPr>
        <w:t xml:space="preserve">e relating to the regulation of dual capacity barristers</w:t>
      </w:r>
      <w:r>
        <w:rPr>
          <w:lang w:val="EN-GB"/>
        </w:rPr>
        <w:t xml:space="preserve">, on issues of being validly instructed, conflicts of interest</w:t>
      </w:r>
      <w:r>
        <w:rPr>
          <w:lang w:val="EN-GB"/>
        </w:rPr>
        <w:t xml:space="preserve">, and client confidentiality </w:t>
      </w:r>
      <w:r>
        <w:rPr>
          <w:lang w:val="EN-GB"/>
        </w:rPr>
        <w:t xml:space="preserve">(during pupillage).</w:t>
      </w:r>
      <w:r>
        <w:rPr/>
        <w:t xml:space="preserve"> </w:t>
      </w:r>
    </w:p>
    <w:p/>
    <w:p>
      <w:pPr>
        <w:pStyle w:val="Heading3"/>
      </w:pPr>
      <w:bookmarkStart w:id="35" w:name="_Toc35"/>
      <w:r>
        <w:t>Professional Negligence</w:t>
      </w:r>
      <w:bookmarkEnd w:id="35"/>
    </w:p>
    <w:p/>
    <w:p>
      <w:pPr>
        <w:pStyle w:val="Heading4"/>
      </w:pPr>
      <w:bookmarkStart w:id="36" w:name="_Toc36"/>
      <w:r>
        <w:t>Notable cases</w:t>
      </w:r>
      <w:bookmarkEnd w:id="36"/>
    </w:p>
    <w:p>
      <w:pPr/>
      <w:r>
        <w:rPr>
          <w:lang w:val="EN-GB"/>
        </w:rPr>
        <w:t xml:space="preserve">Assisting</w:t>
      </w:r>
      <w:r>
        <w:rPr>
          <w:lang w:val="EN-GB"/>
        </w:rPr>
        <w:t xml:space="preserve"> with pleadings (with Jeff Chapman KC) in a complex high value professional negligence claim brought against a firm of solicitors, arising from alleged mishandling of negotiations, a mediation</w:t>
      </w:r>
      <w:r>
        <w:rPr>
          <w:lang w:val="EN-GB"/>
        </w:rPr>
        <w:t xml:space="preserve">,</w:t>
      </w:r>
      <w:r>
        <w:rPr>
          <w:lang w:val="EN-GB"/>
        </w:rPr>
        <w:t xml:space="preserve"> and legal proceedings involving restrictive covenants (during pupillage).</w:t>
      </w:r>
      <w:r>
        <w:rPr/>
        <w:t xml:space="preserve"> </w:t>
      </w:r>
    </w:p>
    <w:p/>
    <w:p>
      <w:pPr/>
      <w:r>
        <w:rPr>
          <w:lang w:val="EN-GB"/>
        </w:rPr>
        <w:t xml:space="preserve">Assisting</w:t>
      </w:r>
      <w:r>
        <w:rPr>
          <w:lang w:val="EN-GB"/>
        </w:rPr>
        <w:t xml:space="preserve"> </w:t>
      </w:r>
      <w:r>
        <w:rPr>
          <w:lang w:val="EN-GB"/>
        </w:rPr>
        <w:t xml:space="preserve">with research on Rome I/Rome II conflicts of law issues, service out, and recoverability of consequential loss in a concurrent breach of contract and professional negligence claim involving insurance brokers and business interruption coverage</w:t>
      </w:r>
      <w:r>
        <w:rPr>
          <w:lang w:val="EN-GB"/>
        </w:rPr>
        <w:t xml:space="preserve"> (during pupillage).</w:t>
      </w:r>
      <w:r>
        <w:rPr/>
        <w:t xml:space="preserve"> </w:t>
      </w:r>
    </w:p>
    <w:p/>
    <w:p>
      <w:pPr>
        <w:pStyle w:val="Heading3"/>
      </w:pPr>
      <w:bookmarkStart w:id="37" w:name="_Toc37"/>
      <w:r>
        <w:t>Sports</w:t>
      </w:r>
      <w:bookmarkEnd w:id="37"/>
    </w:p>
    <w:p/>
    <w:p>
      <w:pPr>
        <w:pStyle w:val="Heading4"/>
      </w:pPr>
      <w:bookmarkStart w:id="38" w:name="_Toc38"/>
      <w:r>
        <w:t>Notable cases</w:t>
      </w:r>
      <w:bookmarkEnd w:id="38"/>
    </w:p>
    <w:p>
      <w:pPr/>
      <w:r>
        <w:rPr>
          <w:lang w:val="EN-GB"/>
        </w:rPr>
        <w:t xml:space="preserve">Assisting</w:t>
      </w:r>
      <w:r>
        <w:rPr>
          <w:lang w:val="EN-GB"/>
        </w:rPr>
        <w:t xml:space="preserve"> with research in a leapfrog appeal to the UKSC on the scope of the tort of unlawful means conspiracy, arising out of a motorsport dispute (during pupillage)</w:t>
      </w:r>
      <w:r>
        <w:rPr>
          <w:lang w:val="EN-GB"/>
        </w:rPr>
        <w:t xml:space="preserve">.</w:t>
      </w:r>
      <w:r>
        <w:rPr/>
        <w:t xml:space="preserve"> </w:t>
      </w:r>
    </w:p>
    <w:p/>
    <w:p>
      <w:pPr/>
      <w:r>
        <w:rPr>
          <w:lang w:val="EN-GB"/>
        </w:rPr>
        <w:t xml:space="preserve">Assisting</w:t>
      </w:r>
      <w:r>
        <w:rPr>
          <w:lang w:val="EN-GB"/>
        </w:rPr>
        <w:t xml:space="preserve"> </w:t>
      </w:r>
      <w:r>
        <w:rPr>
          <w:lang w:val="EN-GB"/>
        </w:rPr>
        <w:t xml:space="preserve">with the defence of a claim brought against an athletics club for breach of contract and defamation (during pupillage).</w:t>
      </w:r>
      <w:r>
        <w:rPr/>
        <w:t xml:space="preserve"> </w:t>
      </w:r>
    </w:p>
    <w:p/>
    <w:p>
      <w:pPr/>
      <w:r>
        <w:rPr>
          <w:lang w:val="EN-GB"/>
        </w:rPr>
        <w:t xml:space="preserve">Assisting </w:t>
      </w:r>
      <w:r>
        <w:rPr>
          <w:lang w:val="EN-GB"/>
        </w:rPr>
        <w:t xml:space="preserve">with an </w:t>
      </w:r>
      <w:r>
        <w:rPr>
          <w:lang w:val="EN-GB"/>
        </w:rPr>
        <w:t xml:space="preserve">LCIA</w:t>
      </w:r>
      <w:r>
        <w:rPr>
          <w:lang w:val="EN-GB"/>
        </w:rPr>
        <w:t xml:space="preserve"> </w:t>
      </w:r>
      <w:r>
        <w:rPr>
          <w:lang w:val="EN-GB"/>
        </w:rPr>
        <w:t xml:space="preserve">arbitration arising from a contractual dispute concerning sponsorship of a </w:t>
      </w:r>
      <w:r>
        <w:rPr>
          <w:lang w:val="EN-GB"/>
        </w:rPr>
        <w:t xml:space="preserve">prominent</w:t>
      </w:r>
      <w:r>
        <w:rPr>
          <w:lang w:val="EN-GB"/>
        </w:rPr>
        <w:t xml:space="preserve"> football club (during pupillage).</w:t>
      </w:r>
      <w:r>
        <w:rPr/>
        <w:t xml:space="preserve"> </w:t>
      </w:r>
    </w:p>
    <w:p/>
    <w:p>
      <w:pPr/>
      <w:r>
        <w:rPr>
          <w:lang w:val="EN-GB"/>
        </w:rPr>
        <w:t xml:space="preserve">Assisting </w:t>
      </w:r>
      <w:r>
        <w:rPr>
          <w:lang w:val="EN-GB"/>
        </w:rPr>
        <w:t xml:space="preserve">with an </w:t>
      </w:r>
      <w:r>
        <w:rPr>
          <w:lang w:val="EN-GB"/>
        </w:rPr>
        <w:t xml:space="preserve">LCIA</w:t>
      </w:r>
      <w:r>
        <w:rPr>
          <w:lang w:val="EN-GB"/>
        </w:rPr>
        <w:t xml:space="preserve"> </w:t>
      </w:r>
      <w:r>
        <w:rPr>
          <w:lang w:val="EN-GB"/>
        </w:rPr>
        <w:t xml:space="preserve">arbitration arising from a dispute involving sport broadcast rights, on issues of enforceability of foreign laws</w:t>
      </w:r>
      <w:r>
        <w:rPr>
          <w:lang w:val="EN-GB"/>
        </w:rPr>
        <w:t xml:space="preserve"> (during pupillage).</w:t>
      </w:r>
      <w:r>
        <w:rPr/>
        <w:t xml:space="preserve"> </w:t>
      </w:r>
    </w:p>
    <w:p/>
    <w:p>
      <w:pPr>
        <w:pStyle w:val="Heading2"/>
      </w:pPr>
      <w:bookmarkStart w:id="39" w:name="_Toc39"/>
      <w:r>
        <w:t>Education</w:t>
      </w:r>
      <w:bookmarkEnd w:id="39"/>
    </w:p>
    <w:p>
      <w:pPr/>
      <w:r>
        <w:rPr/>
        <w:t xml:space="preserve">Law LLB, Queen’s University Belfast – First Class Honours, 1</w:t>
      </w:r>
      <w:r>
        <w:rPr/>
        <w:t xml:space="preserve">st</w:t>
      </w:r>
      <w:r>
        <w:rPr/>
        <w:t xml:space="preserve"> in cohort of 401</w:t>
      </w:r>
      <w:r>
        <w:rPr/>
        <w:t xml:space="preserve"> </w:t>
      </w:r>
    </w:p>
    <w:p>
      <w:pPr/>
      <w:r>
        <w:rPr/>
        <w:t xml:space="preserve">Law LLM (Commercial Specialisation), University of Cambridge – First Class Honours</w:t>
      </w:r>
      <w:r>
        <w:rPr/>
        <w:t xml:space="preserve"> </w:t>
      </w:r>
    </w:p>
    <w:p/>
    <w:p>
      <w:pPr>
        <w:pStyle w:val="Heading2"/>
      </w:pPr>
      <w:bookmarkStart w:id="40" w:name="_Toc40"/>
      <w:r>
        <w:t>Appointments, Memberships and Prizes</w:t>
      </w:r>
      <w:bookmarkEnd w:id="40"/>
    </w:p>
    <w:p>
      <w:pPr>
        <w:numPr>
          <w:ilvl w:val="0"/>
          <w:numId w:val="7"/>
        </w:numPr>
      </w:pPr>
      <w:r>
        <w:rPr/>
        <w:t xml:space="preserve">Spyrou-Lintott LLM Scholarship – Christ’s College, University of Cambridge</w:t>
      </w:r>
      <w:r>
        <w:rPr/>
        <w:t xml:space="preserve"> </w:t>
      </w:r>
    </w:p>
    <w:p>
      <w:pPr>
        <w:numPr>
          <w:ilvl w:val="0"/>
          <w:numId w:val="8"/>
        </w:numPr>
      </w:pPr>
      <w:r>
        <w:rPr/>
        <w:t xml:space="preserve">De Hart Prize – Christ’s College, University of Cambridge</w:t>
      </w:r>
      <w:r>
        <w:rPr/>
        <w:t xml:space="preserve"> </w:t>
      </w:r>
    </w:p>
    <w:p>
      <w:pPr>
        <w:numPr>
          <w:ilvl w:val="0"/>
          <w:numId w:val="9"/>
        </w:numPr>
      </w:pPr>
      <w:r>
        <w:rPr/>
        <w:t xml:space="preserve">Exhibition Scholarship – Inner Temple</w:t>
      </w:r>
      <w:r>
        <w:rPr/>
        <w:t xml:space="preserve"> </w:t>
      </w:r>
    </w:p>
    <w:p>
      <w:pPr>
        <w:numPr>
          <w:ilvl w:val="0"/>
          <w:numId w:val="10"/>
        </w:numPr>
      </w:pPr>
      <w:r>
        <w:rPr/>
        <w:t xml:space="preserve">McKane Medal – Queen’s University Belfast</w:t>
      </w:r>
      <w:r>
        <w:rPr/>
        <w:t xml:space="preserve"> </w:t>
      </w:r>
    </w:p>
    <w:p>
      <w:pPr>
        <w:numPr>
          <w:ilvl w:val="0"/>
          <w:numId w:val="11"/>
        </w:numPr>
      </w:pPr>
      <w:r>
        <w:rPr/>
        <w:t xml:space="preserve">Lord Lowry Prize – Queen’s University Belfast</w:t>
      </w:r>
      <w:r>
        <w:rPr/>
        <w:t xml:space="preserve"> </w:t>
      </w:r>
    </w:p>
    <w:p>
      <w:pPr>
        <w:numPr>
          <w:ilvl w:val="0"/>
          <w:numId w:val="12"/>
        </w:numPr>
      </w:pPr>
      <w:r>
        <w:rPr/>
        <w:t xml:space="preserve">Oxford University Press Law Prize – Queen’s University Belfast</w:t>
      </w:r>
      <w:r>
        <w:rPr/>
        <w:t xml:space="preserve"> </w:t>
      </w:r>
    </w:p>
    <w:p>
      <w:pPr>
        <w:numPr>
          <w:ilvl w:val="0"/>
          <w:numId w:val="13"/>
        </w:numPr>
      </w:pPr>
      <w:r>
        <w:rPr/>
        <w:t xml:space="preserve">Rory Conaghan Cup and Prize – Queen’s University Belfast</w:t>
      </w:r>
      <w:r>
        <w:rPr/>
        <w:t xml:space="preserve"> </w:t>
      </w:r>
    </w:p>
    <w:p>
      <w:pPr>
        <w:numPr>
          <w:ilvl w:val="0"/>
          <w:numId w:val="14"/>
        </w:numPr>
      </w:pPr>
      <w:r>
        <w:rPr/>
        <w:t xml:space="preserve">Sweet &amp; Maxwell Prize – Queen’s University Belfast</w:t>
      </w:r>
      <w:r>
        <w:rPr/>
        <w:t xml:space="preserve"> </w:t>
      </w:r>
    </w:p>
    <w:p>
      <w:pPr>
        <w:numPr>
          <w:ilvl w:val="0"/>
          <w:numId w:val="15"/>
        </w:numPr>
      </w:pPr>
      <w:r>
        <w:rPr/>
        <w:t xml:space="preserve">Head of School Contribution Prize – Queen’s University Belfast</w:t>
      </w:r>
      <w:r>
        <w:rPr/>
        <w:t xml:space="preserve"> </w:t>
      </w:r>
    </w:p>
    <w:p>
      <w:pPr>
        <w:numPr>
          <w:ilvl w:val="0"/>
          <w:numId w:val="16"/>
        </w:numPr>
      </w:pPr>
      <w:r>
        <w:rPr/>
        <w:t xml:space="preserve">Sir Donald Murray Prize – Queen’s University Belfast</w:t>
      </w:r>
      <w:r>
        <w:rPr/>
        <w:t xml:space="preserve"> </w:t>
      </w:r>
    </w:p>
    <w:p>
      <w:pPr>
        <w:numPr>
          <w:ilvl w:val="0"/>
          <w:numId w:val="17"/>
        </w:numPr>
      </w:pPr>
      <w:r>
        <w:rPr/>
        <w:t xml:space="preserve">Carson McDowell LLB Scholarship – Queen’s University Belfast</w:t>
      </w:r>
      <w:r>
        <w:rPr/>
        <w:t xml:space="preserve"> </w:t>
      </w:r>
    </w:p>
    <w:p>
      <w:pPr>
        <w:numPr>
          <w:ilvl w:val="0"/>
          <w:numId w:val="18"/>
        </w:numPr>
      </w:pPr>
      <w:r>
        <w:rPr/>
        <w:t xml:space="preserve">Lexis Nexis Butterworth Law Prize – Queen’s University Belfast</w:t>
      </w:r>
      <w:r>
        <w:rPr/>
        <w:t xml:space="preserve"> </w:t>
      </w:r>
    </w:p>
    <w:p>
      <w:pPr>
        <w:numPr>
          <w:ilvl w:val="0"/>
          <w:numId w:val="19"/>
        </w:numPr>
      </w:pPr>
      <w:r>
        <w:rPr/>
        <w:t xml:space="preserve">School of Law Foundation Scholarships – Queen’s University Belfast</w:t>
      </w:r>
      <w:r>
        <w:rPr/>
        <w:t xml:space="preserve"> </w:t>
      </w:r>
    </w:p>
    <w:p/>
    <w:p>
      <w:pPr>
        <w:pStyle w:val="Heading2"/>
      </w:pPr>
      <w:bookmarkStart w:id="41" w:name="_Toc41"/>
      <w:r>
        <w:t>Publications</w:t>
      </w:r>
      <w:bookmarkEnd w:id="41"/>
    </w:p>
    <w:p>
      <w:pPr/>
      <w:r>
        <w:rPr>
          <w:lang w:val="EN-GB"/>
        </w:rPr>
        <w:t xml:space="preserve">‘</w:t>
      </w:r>
      <w:r>
        <w:rPr>
          <w:lang w:val="EN-GB"/>
        </w:rPr>
        <w:t xml:space="preserve">R v Andrewes: judgment day for CV fraudsters? Case commentary on the Supreme Court decision reported at [2022] UKSC 24</w:t>
      </w:r>
      <w:r>
        <w:rPr>
          <w:lang w:val="EN-GB"/>
        </w:rPr>
        <w:t xml:space="preserve">’</w:t>
      </w:r>
      <w:r>
        <w:rPr>
          <w:lang w:val="EN-GB"/>
        </w:rPr>
        <w:t xml:space="preserve"> (2022) NILQ Vol. 73 No. 4</w:t>
      </w:r>
      <w:r>
        <w:rPr/>
        <w:t xml:space="preserve"> </w:t>
      </w:r>
    </w:p>
    <w:sectPr>
      <w:head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168pt; height:37pt; margin-left:0pt; margin-top:0pt; mso-position-horizontal:left; mso-position-vertical:top; mso-position-horizontal-relative:char; mso-position-vertical-relative:line;">
          <w10:wrap type="inline"/>
          <v:imagedata r:id="rId1" o:title=""/>
        </v:shape>
      </w:pict>
    </w:r>
  </w:p>
  <w:p>
    <w:pPr/>
    <w:r>
      <w:pict>
        <v:shape id="_x0000_s1002" type="#_x0000_t32" style="width:566.92913385827pt; height:0pt; margin-left:0pt; margin-top:0pt; mso-position-horizontal:left; mso-position-vertical:top; mso-position-horizontal-relative:char; mso-position-vertical-relative:line;">
          <w10:wrap type="inline"/>
          <v:stroke/>
        </v:shape>
      </w:pict>
    </w:r>
  </w:p>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EB8026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F0E1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055CA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40F17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1657B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36D20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8259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DC0C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D715D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9C510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F3C68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D402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7CDA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240"/>
    </w:pPr>
    <w:rPr>
      <w:sz w:val="48"/>
      <w:szCs w:val="48"/>
      <w:b w:val="1"/>
      <w:bCs w:val="1"/>
    </w:rPr>
  </w:style>
  <w:style w:type="paragraph" w:styleId="Heading2">
    <w:link w:val="Heading2Char"/>
    <w:name w:val="heading 2"/>
    <w:basedOn w:val="Normal"/>
    <w:pPr>
      <w:spacing w:after="150"/>
    </w:pPr>
    <w:rPr>
      <w:sz w:val="42"/>
      <w:szCs w:val="42"/>
      <w:b w:val="1"/>
      <w:bCs w:val="1"/>
    </w:rPr>
  </w:style>
  <w:style w:type="paragraph" w:styleId="Heading3">
    <w:link w:val="Heading3Char"/>
    <w:name w:val="heading 3"/>
    <w:basedOn w:val="Normal"/>
    <w:pPr>
      <w:spacing w:after="80"/>
    </w:pPr>
    <w:rPr>
      <w:sz w:val="38"/>
      <w:szCs w:val="38"/>
      <w:b w:val="1"/>
      <w:bCs w:val="1"/>
    </w:rPr>
  </w:style>
  <w:style w:type="paragraph" w:styleId="Heading4">
    <w:link w:val="Heading4Char"/>
    <w:name w:val="heading 4"/>
    <w:basedOn w:val="Normal"/>
    <w:pPr>
      <w:spacing w:after="20"/>
    </w:pPr>
    <w:rPr>
      <w:sz w:val="34"/>
      <w:szCs w:val="34"/>
      <w:b w:val="1"/>
      <w:bCs w:val="1"/>
    </w:rPr>
  </w:style>
  <w:style w:type="paragraph" w:styleId="Heading5">
    <w:link w:val="Heading5Char"/>
    <w:name w:val="heading 5"/>
    <w:basedOn w:val="Normal"/>
    <w:pPr>
      <w:spacing w:after="10"/>
    </w:pPr>
    <w:rPr>
      <w:sz w:val="30"/>
      <w:szCs w:val="30"/>
      <w:b w:val="1"/>
      <w:bCs w:val="1"/>
    </w:rPr>
  </w:style>
  <w:style w:type="paragraph" w:styleId="Heading6">
    <w:link w:val="Heading6Char"/>
    <w:name w:val="heading 6"/>
    <w:basedOn w:val="Normal"/>
    <w:pPr>
      <w:spacing w:after="5"/>
    </w:pPr>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2026-10-11T17:05:56+00:00</dcterms:created>
  <dcterms:modified xsi:type="dcterms:W3CDTF">2026-10-11T17:05:56+00:00</dcterms:modified>
</cp:coreProperties>
</file>

<file path=docProps/custom.xml><?xml version="1.0" encoding="utf-8"?>
<Properties xmlns="http://schemas.openxmlformats.org/officeDocument/2006/custom-properties" xmlns:vt="http://schemas.openxmlformats.org/officeDocument/2006/docPropsVTypes"/>
</file>