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Prof. Dr Jacomijn J. van Haersolte-van Hof</w:t>
      </w:r>
      <w:bookmarkEnd w:id="1"/>
    </w:p>
    <w:tbl>
      <w:tblGrid>
        <w:gridCol w:w="1500" w:type="dxa"/>
        <w:gridCol w:w="4500" w:type="dxa"/>
      </w:tblGrid>
      <w:tr>
        <w:trPr/>
        <w:tc>
          <w:tcPr>
            <w:tcW w:w="1500" w:type="dxa"/>
          </w:tcPr>
          <w:p>
            <w:pPr/>
            <w:r>
              <w:rPr>
                <w:b w:val="1"/>
                <w:bCs w:val="1"/>
              </w:rPr>
              <w:t xml:space="preserve">Email</w:t>
            </w:r>
          </w:p>
        </w:tc>
        <w:tc>
          <w:tcPr>
            <w:tcW w:w="4500" w:type="dxa"/>
          </w:tcPr>
          <w:p>
            <w:pPr/>
            <w:r>
              <w:rPr/>
              <w:t xml:space="preserve">jvh@fountaincourt.co.uk</w:t>
            </w:r>
          </w:p>
        </w:tc>
      </w:tr>
      <w:tr>
        <w:trPr/>
        <w:tc>
          <w:tcPr>
            <w:tcW w:w="1500" w:type="dxa"/>
          </w:tcPr>
          <w:p>
            <w:pPr/>
            <w:r>
              <w:rPr>
                <w:b w:val="1"/>
                <w:bCs w:val="1"/>
              </w:rPr>
              <w:t xml:space="preserve">Telephone</w:t>
            </w:r>
          </w:p>
        </w:tc>
        <w:tc>
          <w:tcPr>
            <w:tcW w:w="4500" w:type="dxa"/>
          </w:tcPr>
          <w:p>
            <w:pPr/>
            <w:r>
              <w:rPr/>
              <w:t xml:space="preserve"> +44 (0)20 7583 3335</w:t>
            </w:r>
          </w:p>
        </w:tc>
      </w:tr>
    </w:tbl>
    <w:p/>
    <w:p>
      <w:pPr>
        <w:pStyle w:val="Heading2"/>
      </w:pPr>
      <w:bookmarkStart w:id="2" w:name="_Toc2"/>
      <w:r>
        <w:t>Overview</w:t>
      </w:r>
      <w:bookmarkEnd w:id="2"/>
    </w:p>
    <w:p>
      <w:pPr/>
      <w:r>
        <w:rPr/>
        <w:t xml:space="preserve">Jacomijn (Jackie) van Haersolte-van Hof is an independent arbitrator and a professor of law at Leiden University. From 2014-2024 she was the Director General of the London Court of International Arbitration.</w:t>
      </w:r>
    </w:p>
    <w:p>
      <w:pPr/>
      <w:r>
        <w:rPr/>
        <w:t xml:space="preserve">Jacomijn has served as arbitrator and counsel in dozens of disputes in arbitrations administered by the following institutions and/or governed by the following rules:</w:t>
      </w:r>
    </w:p>
    <w:p>
      <w:pPr/>
      <w:r>
        <w:rPr/>
        <w:t xml:space="preserve">• International Chamber of Commerce</w:t>
      </w:r>
      <w:br/>
      <w:r>
        <w:rPr/>
        <w:t xml:space="preserve">• London Court of International Arbitration</w:t>
      </w:r>
      <w:br/>
      <w:r>
        <w:rPr/>
        <w:t xml:space="preserve">• ICSID</w:t>
      </w:r>
      <w:br/>
      <w:r>
        <w:rPr/>
        <w:t xml:space="preserve">• UNCITRAL</w:t>
      </w:r>
      <w:br/>
      <w:r>
        <w:rPr/>
        <w:t xml:space="preserve">• Netherlands Arbitration Institute</w:t>
      </w:r>
      <w:br/>
      <w:r>
        <w:rPr/>
        <w:t xml:space="preserve">• Royal Dutch Grain and Feed Trade Association</w:t>
      </w:r>
      <w:br/>
      <w:r>
        <w:rPr/>
        <w:t xml:space="preserve">• Various </w:t>
      </w:r>
      <w:r>
        <w:rPr>
          <w:i w:val="1"/>
          <w:iCs w:val="1"/>
        </w:rPr>
        <w:t xml:space="preserve">ad hoc</w:t>
      </w:r>
      <w:r>
        <w:rPr/>
        <w:t xml:space="preserve"> proceedings</w:t>
      </w:r>
      <w:br/>
      <w:r>
        <w:rPr/>
        <w:t xml:space="preserve">• Member of UNUM (the Dutch Transport Arbitration Institution)</w:t>
      </w:r>
      <w:br/>
      <w:r>
        <w:rPr/>
        <w:t xml:space="preserve">• She was recently added to the Panel of Arbitrators of the Singapore International Arbitration Centre (SIAC).</w:t>
      </w:r>
    </w:p>
    <w:p>
      <w:pPr/>
      <w:r>
        <w:rPr/>
        <w:t xml:space="preserve">She has advised and represented multinational companies in commercial, investment, and dispute matters; acting for and against foreign states. Matters include sales and general contract law, post-Merger &amp; Acquisition disputes; energy law (including gas price review disputes); international law (investment law; immunity law); transport and commodities, shipbuilding, including off-shore; insurance. Assisting parties in meditation.</w:t>
      </w:r>
    </w:p>
    <w:p>
      <w:pPr/>
      <w:r>
        <w:rPr/>
        <w:t xml:space="preserve">Previously, from 2008 until she joined the LCIA, she practiced as counsel and arbitrator at her GAR100 boutique in The Hague, HaersolteHof. Before then, she worked with the Rotterdam law firm Loeff Claeys Verbeke (1992-2000), including in its corporate and maritime law departments. During that time, she was seconded to the Claims Resolution Tribunal for Dormant Accounts in Zürich. Subsequently, she joined De Brauw Blackstone Westbroek in The Hague (2000-2005), and thereafter Freshfields Bruckhaus Deringer in Amsterdam as counsel in the International Arbitration Group (2005-2008).</w:t>
      </w:r>
    </w:p>
    <w:p>
      <w:pPr/>
      <w:r>
        <w:rPr/>
        <w:t xml:space="preserve">She was a summer associate with Baker McKenzie, New York (September-October 1988); intern with Chalos, English &amp; Brown, New York (January-June 1987); Fisher Porter &amp; Kent in Long Beach, California (October-December 1986); and Van Doorne &amp; Sjollema Rotterdam (March 1986). From 1987-1991 she was Assistent in Opleiding Rijksuniversiteit Leiden.</w:t>
      </w:r>
    </w:p>
    <w:p>
      <w:pPr/>
      <w:r>
        <w:rPr/>
        <w:t xml:space="preserve">In 2020, she gave the 35th Annual Freshfields Arbitration Lecture. She is a member of the Editorial Board of Global Arbitration Review, member of the Advisory Council Pledge on Equal Representation in Arbitration, and member Arbitration Committee International Law Association. From 2008 until 2018 she was a Lecturer in International Arbitration at the Vrije Universiteit Amsterdam. She acted as a member of the committee advising the European Commission on the amendment of the Brussels Regulation. She was a member of the Board of the Netherlands Arbitration Institute. She taught arbitration to in-house lawyers and law firm trainees. She recently gave evidence to the House of Lords in relation to the reform of the 1996 English Arbitration Act.</w:t>
      </w:r>
    </w:p>
    <w:p>
      <w:pPr/>
      <w:r>
        <w:rPr/>
        <w:t xml:space="preserve">As of 1 July 2026, she is a member of the Challenge Committee of the Netherlands Arbitration Institute.</w:t>
      </w:r>
    </w:p>
    <w:p/>
    <w:p>
      <w:pPr>
        <w:pStyle w:val="Heading2"/>
      </w:pPr>
      <w:bookmarkStart w:id="3" w:name="_Toc3"/>
      <w:r>
        <w:t>Expertise</w:t>
      </w:r>
      <w:bookmarkEnd w:id="3"/>
    </w:p>
    <w:p/>
    <w:p>
      <w:pPr>
        <w:pStyle w:val="Heading3"/>
      </w:pPr>
      <w:bookmarkStart w:id="4" w:name="_Toc4"/>
      <w:r>
        <w:t>Recent Commercial Disputes</w:t>
      </w:r>
      <w:bookmarkEnd w:id="4"/>
    </w:p>
    <w:p/>
    <w:p>
      <w:pPr>
        <w:pStyle w:val="Heading4"/>
      </w:pPr>
      <w:bookmarkStart w:id="5" w:name="_Toc5"/>
      <w:r>
        <w:t>Notable cases</w:t>
      </w:r>
      <w:bookmarkEnd w:id="5"/>
    </w:p>
    <w:p>
      <w:pPr/>
      <w:r>
        <w:rPr/>
        <w:t xml:space="preserve">Presiding arbitrator in Belgium seated ICC arbitration over a defective ship engine (Belgian law)</w:t>
      </w:r>
    </w:p>
    <w:p/>
    <w:p>
      <w:pPr/>
      <w:r>
        <w:rPr/>
        <w:t xml:space="preserve">Presiding arbitrator in ICC arbitration over losses caused due to delays and disruption on a major construction project (Saudi seat and law)</w:t>
      </w:r>
    </w:p>
    <w:p/>
    <w:p>
      <w:pPr/>
      <w:r>
        <w:rPr/>
        <w:t xml:space="preserve">Presiding arbitrator in LCIA Sukuk financing dispute</w:t>
      </w:r>
    </w:p>
    <w:p/>
    <w:p>
      <w:pPr/>
      <w:r>
        <w:rPr/>
        <w:t xml:space="preserve">Sole Arbitrator in an LCIA Commodities dispute</w:t>
      </w:r>
    </w:p>
    <w:p/>
    <w:p>
      <w:pPr/>
      <w:r>
        <w:rPr/>
        <w:t xml:space="preserve">Presiding Arbitrator in an LCIA Aviation dispute</w:t>
      </w:r>
    </w:p>
    <w:p/>
    <w:p>
      <w:pPr/>
      <w:r>
        <w:rPr/>
        <w:t xml:space="preserve">President in an NAI post–M&amp;A dispute</w:t>
      </w:r>
    </w:p>
    <w:p/>
    <w:p>
      <w:pPr/>
      <w:r>
        <w:rPr/>
        <w:t xml:space="preserve">Co-Arbitrator in an NAI post–M&amp;A dispute</w:t>
      </w:r>
    </w:p>
    <w:p/>
    <w:p>
      <w:pPr/>
      <w:r>
        <w:rPr/>
        <w:t xml:space="preserve">President in Dutch a</w:t>
      </w:r>
      <w:r>
        <w:rPr>
          <w:i w:val="1"/>
          <w:iCs w:val="1"/>
        </w:rPr>
        <w:t xml:space="preserve">d hoc</w:t>
      </w:r>
      <w:r>
        <w:rPr/>
        <w:t xml:space="preserve"> Proceedings</w:t>
      </w:r>
    </w:p>
    <w:p/>
    <w:p>
      <w:pPr>
        <w:pStyle w:val="Heading3"/>
      </w:pPr>
      <w:bookmarkStart w:id="6" w:name="_Toc6"/>
      <w:r>
        <w:t>International Centre for Settlement of Investment Disputes (ICSID)</w:t>
      </w:r>
      <w:bookmarkEnd w:id="6"/>
    </w:p>
    <w:p/>
    <w:p>
      <w:pPr>
        <w:pStyle w:val="Heading4"/>
      </w:pPr>
      <w:bookmarkStart w:id="7" w:name="_Toc7"/>
      <w:r>
        <w:t>Notable cases</w:t>
      </w:r>
      <w:bookmarkEnd w:id="7"/>
    </w:p>
    <w:p>
      <w:pPr/>
      <w:r>
        <w:rPr/>
        <w:t xml:space="preserve">Currently Committee Member in </w:t>
      </w:r>
      <w:r>
        <w:rPr>
          <w:i w:val="1"/>
          <w:iCs w:val="1"/>
        </w:rPr>
        <w:t xml:space="preserve">Peteris Pildegovics and SIA North Star v Kingdom of Norway</w:t>
      </w:r>
      <w:r>
        <w:rPr/>
        <w:t xml:space="preserve"> (ICSID Case No. ARB/20/11) – </w:t>
      </w:r>
      <w:r>
        <w:rPr/>
        <w:t xml:space="preserve">ICSID annulment proceedings arising from a Latvia–Norway BIT dispute concerning investments in Norway’s snow crab harvesting sector and the dismissal of claims for expropriation and treaty breaches</w:t>
      </w:r>
    </w:p>
    <w:p/>
    <w:p>
      <w:pPr/>
      <w:r>
        <w:rPr/>
        <w:t xml:space="preserve">President in </w:t>
      </w:r>
      <w:r>
        <w:rPr>
          <w:i w:val="1"/>
          <w:iCs w:val="1"/>
        </w:rPr>
        <w:t xml:space="preserve">Telcell Wireless, LLC and International Telcell Cellular, LLC v. Georgia</w:t>
      </w:r>
      <w:r>
        <w:rPr/>
        <w:t xml:space="preserve"> (ICSID Case No. ARB/20/5)</w:t>
      </w:r>
    </w:p>
    <w:p/>
    <w:p>
      <w:pPr/>
      <w:r>
        <w:rPr/>
        <w:t xml:space="preserve">President in </w:t>
      </w:r>
      <w:r>
        <w:rPr>
          <w:i w:val="1"/>
          <w:iCs w:val="1"/>
        </w:rPr>
        <w:t xml:space="preserve">Pawlowski AG and Projekt Sever s.r.o. v. Czech Republic</w:t>
      </w:r>
      <w:r>
        <w:rPr/>
        <w:t xml:space="preserve"> (ICSID Case No. ARB/17/11)</w:t>
      </w:r>
    </w:p>
    <w:p/>
    <w:p>
      <w:pPr/>
      <w:r>
        <w:rPr/>
        <w:t xml:space="preserve">Committee Member in </w:t>
      </w:r>
      <w:r>
        <w:rPr>
          <w:i w:val="1"/>
          <w:iCs w:val="1"/>
        </w:rPr>
        <w:t xml:space="preserve">Agility Public Warehousing Company K.S.C.P. v. Republic of Iraq</w:t>
      </w:r>
      <w:r>
        <w:rPr/>
        <w:t xml:space="preserve"> (ICSID Case No. ARB/17/7)</w:t>
      </w:r>
    </w:p>
    <w:p/>
    <w:p>
      <w:pPr/>
      <w:r>
        <w:rPr/>
        <w:t xml:space="preserve">Committee Member in </w:t>
      </w:r>
      <w:r>
        <w:rPr>
          <w:i w:val="1"/>
          <w:iCs w:val="1"/>
        </w:rPr>
        <w:t xml:space="preserve">Mera Investment Fund Limited v. Republic of Serbia</w:t>
      </w:r>
      <w:r>
        <w:rPr/>
        <w:t xml:space="preserve"> (ICSID Case No. ARB/17/2)</w:t>
      </w:r>
    </w:p>
    <w:p/>
    <w:p>
      <w:pPr/>
      <w:r>
        <w:rPr/>
        <w:t xml:space="preserve">President in </w:t>
      </w:r>
      <w:r>
        <w:rPr>
          <w:i w:val="1"/>
          <w:iCs w:val="1"/>
        </w:rPr>
        <w:t xml:space="preserve">ESPF v. Italy</w:t>
      </w:r>
      <w:r>
        <w:rPr/>
        <w:t xml:space="preserve"> (ICSID Case No. ARB/16/5)</w:t>
      </w:r>
    </w:p>
    <w:p/>
    <w:p>
      <w:pPr/>
      <w:r>
        <w:rPr/>
        <w:t xml:space="preserve">President in </w:t>
      </w:r>
      <w:r>
        <w:rPr>
          <w:i w:val="1"/>
          <w:iCs w:val="1"/>
        </w:rPr>
        <w:t xml:space="preserve">Cube Infrastructure Fund SICAV and others v. Kingdom of Spain</w:t>
      </w:r>
      <w:r>
        <w:rPr/>
        <w:t xml:space="preserve"> (ICSID Case No. ARB/15/20)</w:t>
      </w:r>
    </w:p>
    <w:p/>
    <w:p>
      <w:pPr/>
      <w:r>
        <w:rPr/>
        <w:t xml:space="preserve">Committee Member in the </w:t>
      </w:r>
      <w:r>
        <w:rPr>
          <w:i w:val="1"/>
          <w:iCs w:val="1"/>
        </w:rPr>
        <w:t xml:space="preserve">Annulment Committees in Hydro Energy v. Spain</w:t>
      </w:r>
      <w:r>
        <w:rPr/>
        <w:t xml:space="preserve"> (ICSID Case No. ARB/15/42)</w:t>
      </w:r>
    </w:p>
    <w:p/>
    <w:p>
      <w:pPr/>
      <w:r>
        <w:rPr/>
        <w:t xml:space="preserve">Committee Member panel in </w:t>
      </w:r>
      <w:r>
        <w:rPr>
          <w:i w:val="1"/>
          <w:iCs w:val="1"/>
        </w:rPr>
        <w:t xml:space="preserve">Sodexo Pass International SAS v. Hungary</w:t>
      </w:r>
      <w:r>
        <w:rPr/>
        <w:t xml:space="preserve"> (ICSID Case No. ARB/14/20)</w:t>
      </w:r>
    </w:p>
    <w:p/>
    <w:p>
      <w:pPr/>
      <w:r>
        <w:rPr/>
        <w:t xml:space="preserve">Committee Member </w:t>
      </w:r>
      <w:r>
        <w:rPr>
          <w:i w:val="1"/>
          <w:iCs w:val="1"/>
        </w:rPr>
        <w:t xml:space="preserve">Hydro Srl et al v. Albania</w:t>
      </w:r>
      <w:r>
        <w:rPr/>
        <w:t xml:space="preserve"> (ICSID Case No. ARB/15/28)</w:t>
      </w:r>
    </w:p>
    <w:p/>
    <w:p>
      <w:pPr/>
      <w:r>
        <w:rPr/>
        <w:t xml:space="preserve">Committee Member </w:t>
      </w:r>
      <w:r>
        <w:rPr>
          <w:i w:val="1"/>
          <w:iCs w:val="1"/>
        </w:rPr>
        <w:t xml:space="preserve">Adam Dogan v. Turkmenistan</w:t>
      </w:r>
      <w:r>
        <w:rPr/>
        <w:t xml:space="preserve"> (ICSID Case No. ARB/09/9)</w:t>
      </w:r>
    </w:p>
    <w:p/>
    <w:p>
      <w:pPr>
        <w:pStyle w:val="Heading2"/>
      </w:pPr>
      <w:bookmarkStart w:id="8" w:name="_Toc8"/>
      <w:r>
        <w:t>Education</w:t>
      </w:r>
      <w:bookmarkEnd w:id="8"/>
    </w:p>
    <w:p>
      <w:pPr>
        <w:numPr>
          <w:ilvl w:val="0"/>
          <w:numId w:val="7"/>
        </w:numPr>
      </w:pPr>
      <w:r>
        <w:rPr/>
        <w:t xml:space="preserve">Rijksuniversiteit Leiden (Master of Laws 1986)</w:t>
      </w:r>
    </w:p>
    <w:p>
      <w:pPr>
        <w:numPr>
          <w:ilvl w:val="0"/>
          <w:numId w:val="7"/>
        </w:numPr>
      </w:pPr>
      <w:r>
        <w:rPr/>
        <w:t xml:space="preserve">PhD 1992, doctoral thesis entitled: The UNCITRAL Rules, The Practice of the Iran-United States Claims Tribunal).</w:t>
      </w:r>
    </w:p>
    <w:p/>
    <w:p>
      <w:pPr>
        <w:pStyle w:val="Heading2"/>
      </w:pPr>
      <w:bookmarkStart w:id="9" w:name="_Toc9"/>
      <w:r>
        <w:t>International Bar / Court Appointments</w:t>
      </w:r>
      <w:bookmarkEnd w:id="9"/>
    </w:p>
    <w:p>
      <w:pPr>
        <w:numPr>
          <w:ilvl w:val="0"/>
          <w:numId w:val="8"/>
        </w:numPr>
      </w:pPr>
      <w:r>
        <w:rPr/>
        <w:t xml:space="preserve">Member of the Panel of Arbitrators of the Singapore International Arbitration Centre (SIAC).</w:t>
      </w:r>
    </w:p>
    <w:p>
      <w:pPr>
        <w:numPr>
          <w:ilvl w:val="0"/>
          <w:numId w:val="8"/>
        </w:numPr>
      </w:pPr>
      <w:r>
        <w:rPr/>
        <w:t xml:space="preserve">Member of the Challenge Committee of the Netherlands Arbitration Institute</w:t>
      </w:r>
    </w:p>
    <w:p/>
    <w:p>
      <w:pPr>
        <w:pStyle w:val="Heading2"/>
      </w:pPr>
      <w:bookmarkStart w:id="10" w:name="_Toc10"/>
      <w:r>
        <w:t>Publications</w:t>
      </w:r>
      <w:bookmarkEnd w:id="10"/>
    </w:p>
    <w:p>
      <w:pPr/>
      <w:r>
        <w:rPr/>
        <w:t xml:space="preserve">Publications in English include:</w:t>
      </w:r>
    </w:p>
    <w:p>
      <w:pPr>
        <w:numPr>
          <w:ilvl w:val="0"/>
          <w:numId w:val="9"/>
        </w:numPr>
      </w:pPr>
      <w:r>
        <w:rPr/>
        <w:t xml:space="preserve">Law reform: the institutional perspective, Arbitration International, March 2024, Vol. 40 Issue 13-24;</w:t>
      </w:r>
    </w:p>
    <w:p>
      <w:pPr>
        <w:numPr>
          <w:ilvl w:val="0"/>
          <w:numId w:val="9"/>
        </w:numPr>
      </w:pPr>
      <w:r>
        <w:rPr/>
        <w:t xml:space="preserve">Arbitral jurisdiction – exploring the boundaries of de novo review, Inaugural lecture, Universiteit Leiden;</w:t>
      </w:r>
    </w:p>
    <w:p>
      <w:pPr>
        <w:numPr>
          <w:ilvl w:val="0"/>
          <w:numId w:val="9"/>
        </w:numPr>
      </w:pPr>
      <w:r>
        <w:rPr/>
        <w:t xml:space="preserve">Are Arbitral Seats Striking the Right Balance Between Arbitrator Autonomy and Court Supervision?, in Achieving the Arbitration Dream: Liber Amicorum for Julian D.M. Lew KC, Wolters Kluwer 2023, 343-353;</w:t>
      </w:r>
    </w:p>
    <w:p>
      <w:pPr>
        <w:numPr>
          <w:ilvl w:val="0"/>
          <w:numId w:val="9"/>
        </w:numPr>
      </w:pPr>
      <w:r>
        <w:rPr/>
        <w:t xml:space="preserve">Women in International Arbitration in the MENA, Chapter 30, Juris Arbitration Law (2023);</w:t>
      </w:r>
    </w:p>
    <w:p>
      <w:pPr>
        <w:numPr>
          <w:ilvl w:val="0"/>
          <w:numId w:val="9"/>
        </w:numPr>
      </w:pPr>
      <w:r>
        <w:rPr/>
        <w:t xml:space="preserve">Secretaries to the Arbitral Tribunal (with M. Stone), Cambridge Compendium of International Commercial and Investment Arbitration, Cambridge University Press 2023, 1044-1074;</w:t>
      </w:r>
    </w:p>
    <w:p>
      <w:pPr>
        <w:numPr>
          <w:ilvl w:val="0"/>
          <w:numId w:val="9"/>
        </w:numPr>
      </w:pPr>
      <w:r>
        <w:rPr/>
        <w:t xml:space="preserve">Foreword The 2022 ICSID Arbitration Rules – A Commentary, ICSID, C.H.Beck 2022;</w:t>
      </w:r>
    </w:p>
    <w:p>
      <w:pPr>
        <w:numPr>
          <w:ilvl w:val="0"/>
          <w:numId w:val="9"/>
        </w:numPr>
      </w:pPr>
      <w:r>
        <w:rPr/>
        <w:t xml:space="preserve">LCIA Approach to Challenges to Arbitrators (with F. Greenway &amp; A. Cho) (2021) 6 BCDR Int.Arb.Rev. 1;</w:t>
      </w:r>
    </w:p>
    <w:p>
      <w:pPr>
        <w:numPr>
          <w:ilvl w:val="0"/>
          <w:numId w:val="9"/>
        </w:numPr>
      </w:pPr>
      <w:r>
        <w:rPr/>
        <w:t xml:space="preserve">Impartiality and independence: fundamental and fluid, Arbitration International, 2021, 1-13 (OUP);</w:t>
      </w:r>
    </w:p>
    <w:p>
      <w:pPr>
        <w:numPr>
          <w:ilvl w:val="0"/>
          <w:numId w:val="9"/>
        </w:numPr>
      </w:pPr>
      <w:r>
        <w:rPr/>
        <w:t xml:space="preserve">Women in Arbitration, Thomson Reuters Practical Law Arbitration Blog, 8 March 2017;</w:t>
      </w:r>
    </w:p>
    <w:p>
      <w:pPr>
        <w:numPr>
          <w:ilvl w:val="0"/>
          <w:numId w:val="9"/>
        </w:numPr>
      </w:pPr>
      <w:r>
        <w:rPr/>
        <w:t xml:space="preserve">Challenges and Responsibilities of Arbitral Institutions, in International Arbitration Under Review, Essays in Honour of John Beechey (ICC, 2015) 173-185;</w:t>
      </w:r>
    </w:p>
    <w:p>
      <w:pPr>
        <w:numPr>
          <w:ilvl w:val="0"/>
          <w:numId w:val="9"/>
        </w:numPr>
      </w:pPr>
      <w:r>
        <w:rPr/>
        <w:t xml:space="preserve">The potential impact of EU sanctions on international disputes administered by European arbitration institutions, Legal Insight (2015), Vol. 41, No. 5, 60-63;</w:t>
      </w:r>
    </w:p>
    <w:p>
      <w:pPr>
        <w:numPr>
          <w:ilvl w:val="0"/>
          <w:numId w:val="9"/>
        </w:numPr>
      </w:pPr>
      <w:r>
        <w:rPr/>
        <w:t xml:space="preserve">Diversity: why it matters and what we can all do about it, Scottish Arbitration Centre Quarterly Newsletter (July 2015);</w:t>
      </w:r>
    </w:p>
    <w:p>
      <w:pPr>
        <w:numPr>
          <w:ilvl w:val="0"/>
          <w:numId w:val="9"/>
        </w:numPr>
      </w:pPr>
      <w:r>
        <w:rPr/>
        <w:t xml:space="preserve">Diversity in Diversity, in Legitimacy: Myths, Realities, Challenges, ICCA Congress Series No. 18 (2015), 638-651;</w:t>
      </w:r>
    </w:p>
    <w:p>
      <w:pPr>
        <w:numPr>
          <w:ilvl w:val="0"/>
          <w:numId w:val="9"/>
        </w:numPr>
      </w:pPr>
      <w:r>
        <w:rPr/>
        <w:t xml:space="preserve">International arbitration and the lex arbitri, Arbitration International, Vol. 31, No. 1, 27-62 (2015) (with E.V. Koppe);</w:t>
      </w:r>
    </w:p>
    <w:p>
      <w:pPr>
        <w:numPr>
          <w:ilvl w:val="0"/>
          <w:numId w:val="9"/>
        </w:numPr>
      </w:pPr>
      <w:r>
        <w:rPr/>
        <w:t xml:space="preserve">Contributions as Reporter for the Netherlands, ITA Arbitration Report and KluwerArbitration.com;</w:t>
      </w:r>
    </w:p>
    <w:p>
      <w:pPr>
        <w:numPr>
          <w:ilvl w:val="0"/>
          <w:numId w:val="9"/>
        </w:numPr>
      </w:pPr>
      <w:r>
        <w:rPr/>
        <w:t xml:space="preserve">The Commission’s Proposal to amend the arbitration exception should be embraced!, NIPR 2011 280;</w:t>
      </w:r>
    </w:p>
    <w:p>
      <w:pPr>
        <w:numPr>
          <w:ilvl w:val="0"/>
          <w:numId w:val="9"/>
        </w:numPr>
      </w:pPr>
      <w:r>
        <w:rPr/>
        <w:t xml:space="preserve">Concise International Arbitration (Commentary on UNCITRAL Rules), Kluwer Law International (2010);</w:t>
      </w:r>
    </w:p>
    <w:p>
      <w:pPr>
        <w:numPr>
          <w:ilvl w:val="0"/>
          <w:numId w:val="9"/>
        </w:numPr>
      </w:pPr>
      <w:r>
        <w:rPr/>
        <w:t xml:space="preserve">The Revitalization of the Permanent Court of Arbitration, NILR 2007 54;</w:t>
      </w:r>
    </w:p>
    <w:p>
      <w:pPr>
        <w:numPr>
          <w:ilvl w:val="0"/>
          <w:numId w:val="9"/>
        </w:numPr>
      </w:pPr>
      <w:r>
        <w:rPr/>
        <w:t xml:space="preserve">The relationship between International Tribunals and Domestic Courts (with A. Hoffmann), in The Oxford Handbook of International Investment Law, Oxford University Press (2008);</w:t>
      </w:r>
    </w:p>
    <w:p>
      <w:pPr>
        <w:numPr>
          <w:ilvl w:val="0"/>
          <w:numId w:val="9"/>
        </w:numPr>
      </w:pPr>
      <w:r>
        <w:rPr/>
        <w:t xml:space="preserve">Interim Measures of Protection – A European and International Perspective, in ICCA Congress series no. 11 (2003);</w:t>
      </w:r>
    </w:p>
    <w:p>
      <w:pPr>
        <w:numPr>
          <w:ilvl w:val="0"/>
          <w:numId w:val="9"/>
        </w:numPr>
      </w:pPr>
      <w:r>
        <w:rPr/>
        <w:t xml:space="preserve">Innovations in Mass Claims Dispute Resolution: Using New Standards of Proof, Dispute Resolution Journal (2003);</w:t>
      </w:r>
    </w:p>
    <w:p>
      <w:pPr>
        <w:numPr>
          <w:ilvl w:val="0"/>
          <w:numId w:val="9"/>
        </w:numPr>
      </w:pPr>
      <w:r>
        <w:rPr/>
        <w:t xml:space="preserve">Consolidation Under the English Arbitration Act 1996: A View from The Netherlands, Arbitration International (1997);</w:t>
      </w:r>
    </w:p>
    <w:p>
      <w:pPr>
        <w:numPr>
          <w:ilvl w:val="0"/>
          <w:numId w:val="9"/>
        </w:numPr>
      </w:pPr>
      <w:r>
        <w:rPr/>
        <w:t xml:space="preserve">Commentary on the UNCITRAL Arbitration Rules – The Application by the Iran-U.S. Claims Tribunal (Kluwer, 1992).</w:t>
      </w:r>
    </w:p>
    <w:p>
      <w:pPr/>
      <w:r>
        <w:rPr/>
        <w:t xml:space="preserve">Publications in Dutch include numerous case notes and articles in Tijdschrift voor Arbitragerecht (latest case note District Court Amsterdam 8 March 2023, ECLI:NL:RBAMS:2023:1738 (LC Corp B.V./Republiek Polen), Geen arbitrageverbod op grond van (beweerde) strijd met EU-recht, TvA 2023/51); WPNR; NIPR and Nederlands Tijdschrift voor Europees Recht.</w:t>
      </w:r>
    </w:p>
    <w:p/>
    <w:p>
      <w:pPr>
        <w:pStyle w:val="Heading2"/>
      </w:pPr>
      <w:bookmarkStart w:id="11" w:name="_Toc11"/>
      <w:r>
        <w:t>Languages</w:t>
      </w:r>
      <w:bookmarkEnd w:id="11"/>
    </w:p>
    <w:p>
      <w:pPr/>
      <w:r>
        <w:rPr/>
        <w:t xml:space="preserve">Dutch (native/fluent), French, (intermediate), German (intermediate) and Spanish (basic).</w:t>
      </w:r>
    </w:p>
    <w:sectPr>
      <w:head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75BE6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831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B6E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2026-11-01T13:53:05+00:00</dcterms:created>
  <dcterms:modified xsi:type="dcterms:W3CDTF">2026-11-01T13:53:05+00:00</dcterms:modified>
</cp:coreProperties>
</file>

<file path=docProps/custom.xml><?xml version="1.0" encoding="utf-8"?>
<Properties xmlns="http://schemas.openxmlformats.org/officeDocument/2006/custom-properties" xmlns:vt="http://schemas.openxmlformats.org/officeDocument/2006/docPropsVTypes"/>
</file>