
<file path=[Content_Types].xml><?xml version="1.0" encoding="utf-8"?>
<Types xmlns="http://schemas.openxmlformats.org/package/2006/content-types">
  <Default Extension="rels" ContentType="application/vnd.openxmlformats-package.relationships+xml"/>
  <Default Extension="xml" ContentType="application/xml"/>
  <Default Extension="jpg" ContentType="image/jpeg"/>
  <Default Extension="png" ContentType="image/png"/>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Niamh Cleary</w:t>
      </w:r>
      <w:bookmarkEnd w:id="1"/>
    </w:p>
    <w:tbl>
      <w:tblGrid>
        <w:gridCol w:w="1500" w:type="dxa"/>
        <w:gridCol w:w="4500" w:type="dxa"/>
      </w:tblGrid>
      <w:tr>
        <w:trPr/>
        <w:tc>
          <w:tcPr>
            <w:tcW w:w="1500" w:type="dxa"/>
          </w:tcPr>
          <w:p>
            <w:pPr/>
            <w:r>
              <w:rPr>
                <w:b w:val="1"/>
                <w:bCs w:val="1"/>
              </w:rPr>
              <w:t xml:space="preserve">Call</w:t>
            </w:r>
          </w:p>
        </w:tc>
        <w:tc>
          <w:tcPr>
            <w:tcW w:w="4500" w:type="dxa"/>
          </w:tcPr>
          <w:p>
            <w:pPr/>
            <w:r>
              <w:rPr/>
              <w:t xml:space="preserve">2012</w:t>
            </w:r>
          </w:p>
        </w:tc>
      </w:tr>
      <w:tr>
        <w:trPr/>
        <w:tc>
          <w:tcPr>
            <w:tcW w:w="1500" w:type="dxa"/>
          </w:tcPr>
          <w:p>
            <w:pPr/>
            <w:r>
              <w:rPr>
                <w:b w:val="1"/>
                <w:bCs w:val="1"/>
              </w:rPr>
              <w:t xml:space="preserve">Email</w:t>
            </w:r>
          </w:p>
        </w:tc>
        <w:tc>
          <w:tcPr>
            <w:tcW w:w="4500" w:type="dxa"/>
          </w:tcPr>
          <w:p>
            <w:pPr/>
            <w:r>
              <w:rPr/>
              <w:t xml:space="preserve">nhc@fountaincourt.co.uk</w:t>
            </w:r>
          </w:p>
        </w:tc>
      </w:tr>
      <w:tr>
        <w:trPr/>
        <w:tc>
          <w:tcPr>
            <w:tcW w:w="1500" w:type="dxa"/>
          </w:tcPr>
          <w:p>
            <w:pPr/>
            <w:r>
              <w:rPr>
                <w:b w:val="1"/>
                <w:bCs w:val="1"/>
              </w:rPr>
              <w:t xml:space="preserve">Telephone</w:t>
            </w:r>
          </w:p>
        </w:tc>
        <w:tc>
          <w:tcPr>
            <w:tcW w:w="4500" w:type="dxa"/>
          </w:tcPr>
          <w:p>
            <w:pPr/>
            <w:r>
              <w:rPr/>
              <w:t xml:space="preserve">+44 (0)20 7583 3335</w:t>
            </w:r>
          </w:p>
        </w:tc>
      </w:tr>
    </w:tbl>
    <w:p/>
    <w:p>
      <w:pPr>
        <w:pStyle w:val="Heading2"/>
      </w:pPr>
      <w:bookmarkStart w:id="2" w:name="_Toc2"/>
      <w:r>
        <w:t>Overview</w:t>
      </w:r>
      <w:bookmarkEnd w:id="2"/>
    </w:p>
    <w:p>
      <w:pPr/>
      <w:r>
        <w:rPr/>
        <w:t xml:space="preserve">Niamh Cleary is “</w:t>
      </w:r>
      <w:r>
        <w:rPr>
          <w:i w:val="1"/>
          <w:iCs w:val="1"/>
        </w:rPr>
        <w:t xml:space="preserve">an extraordinarily talented barrister</w:t>
      </w:r>
      <w:r>
        <w:rPr/>
        <w:t xml:space="preserve">” and “</w:t>
      </w:r>
      <w:r>
        <w:rPr>
          <w:i w:val="1"/>
          <w:iCs w:val="1"/>
        </w:rPr>
        <w:t xml:space="preserve">outstanding litigation junior</w:t>
      </w:r>
      <w:r>
        <w:rPr/>
        <w:t xml:space="preserve">” (Legal 500). She is frequently instructed in complex high-value commercial cases. Over the years, Niamh has acted in a number of high-profile cases in the areas of aviation, insurance and reinsurance, competition, group litigation, and professional negligence.</w:t>
      </w:r>
    </w:p>
    <w:p>
      <w:pPr/>
      <w:r>
        <w:rPr/>
        <w:t xml:space="preserve">Niamh is recommended as leading junior in Legal 500 and Chambers &amp; Partners in the fields of Aviation, Group Litigation, and Insurance and Reinsurance. She is praised by clients as an “</w:t>
      </w:r>
      <w:r>
        <w:rPr>
          <w:i w:val="1"/>
          <w:iCs w:val="1"/>
        </w:rPr>
        <w:t xml:space="preserve">astonishingly bright</w:t>
      </w:r>
      <w:r>
        <w:rPr/>
        <w:t xml:space="preserve">” and “</w:t>
      </w:r>
      <w:r>
        <w:rPr>
          <w:i w:val="1"/>
          <w:iCs w:val="1"/>
        </w:rPr>
        <w:t xml:space="preserve">immensely hardworking</w:t>
      </w:r>
      <w:r>
        <w:rPr/>
        <w:t xml:space="preserve">” junior, who “</w:t>
      </w:r>
      <w:r>
        <w:rPr>
          <w:i w:val="1"/>
          <w:iCs w:val="1"/>
        </w:rPr>
        <w:t xml:space="preserve">wastes no time in getting to the crux of the issues and is always a great pleasure to work with</w:t>
      </w:r>
      <w:r>
        <w:rPr/>
        <w:t xml:space="preserve">” (Legal 500; Chambers &amp; Partners).</w:t>
      </w:r>
    </w:p>
    <w:p>
      <w:pPr/>
      <w:r>
        <w:rPr/>
        <w:t xml:space="preserve">Before coming to the Bar, Niamh studied law at Trinity College Dublin (LLB) and at the University of Cambridge (LLM), graduating with a first-class degree in both, before completing a PhD in the law of unjust enrichment.</w:t>
      </w:r>
    </w:p>
    <w:p/>
    <w:p>
      <w:pPr>
        <w:pStyle w:val="Heading2"/>
      </w:pPr>
      <w:bookmarkStart w:id="3" w:name="_Toc3"/>
      <w:r>
        <w:t>Recent Highlights</w:t>
      </w:r>
      <w:bookmarkEnd w:id="3"/>
    </w:p>
    <w:p>
      <w:pPr/>
      <w:r>
        <w:rPr>
          <w:b w:val="1"/>
          <w:bCs w:val="1"/>
        </w:rPr>
        <w:t xml:space="preserve">FW Aviation (Holdings) 1 Ltd v VietJet Aviation Joint Stock Co [2024] EWHC 1945</w:t>
      </w:r>
    </w:p>
    <w:p>
      <w:pPr/>
      <w:r>
        <w:rPr/>
        <w:t xml:space="preserve">Instructed (with Richard Lissack KC, Akhil Shah KC et al) in a complex aviation leasing dispute, involving claims under the Cape Town Convention and claims for breach of the lease return conditions. </w:t>
      </w:r>
    </w:p>
    <w:p/>
    <w:p>
      <w:pPr/>
      <w:r>
        <w:rPr>
          <w:b w:val="1"/>
          <w:bCs w:val="1"/>
        </w:rPr>
        <w:t xml:space="preserve">Re Ukrainian Aircraft Operator Policy Claims (Jurisdiction Applications) [2024] EWHC 1365 (Comm)</w:t>
      </w:r>
    </w:p>
    <w:p>
      <w:pPr/>
      <w:r>
        <w:rPr/>
        <w:t xml:space="preserve">Instructed (with James Brocklebank KC) by various reinsurers in a successful jurisdiction challenge against claims brought under hull war risks policies following the Russian invasion of Ukraine.</w:t>
      </w:r>
    </w:p>
    <w:p/>
    <w:p>
      <w:pPr/>
      <w:r>
        <w:rPr>
          <w:b w:val="1"/>
          <w:bCs w:val="1"/>
        </w:rPr>
        <w:t xml:space="preserve">AD Tech Collective Action LLP v Alphabet Inc [2024] CAT 38</w:t>
      </w:r>
    </w:p>
    <w:p>
      <w:pPr/>
      <w:r>
        <w:rPr/>
        <w:t xml:space="preserve">Instructed (with Robert O’Donoghue KC, Gerry Facenna KC et al) by the class representative in its successful application to certify collective proceedings on behalf of UK publishers who have suffered loss as a result of Google’s abuse of dominant position in the adtech sector. </w:t>
      </w:r>
    </w:p>
    <w:p/>
    <w:p>
      <w:pPr/>
      <w:r>
        <w:rPr>
          <w:b w:val="1"/>
          <w:bCs w:val="1"/>
        </w:rPr>
        <w:t xml:space="preserve">Inquest into the death of Emiliano Sala</w:t>
      </w:r>
    </w:p>
    <w:p>
      <w:pPr/>
      <w:r>
        <w:rPr/>
        <w:t xml:space="preserve">Acted (as sole counsel) for aircraft manufacturer Piper Aircraft Inc in the inquest into the death of Emiliano Sala, an international footballer who was killed when the aircraft in which he was travelling crashed into the English Channel in January 2019.</w:t>
      </w:r>
    </w:p>
    <w:p/>
    <w:p>
      <w:pPr/>
      <w:r>
        <w:rPr>
          <w:b w:val="1"/>
          <w:bCs w:val="1"/>
        </w:rPr>
        <w:t xml:space="preserve">A v B</w:t>
      </w:r>
    </w:p>
    <w:p>
      <w:pPr/>
      <w:r>
        <w:rPr/>
        <w:t xml:space="preserve">Acted (with Leigh-Ann Mulcahy KC and Ben Lynch KC) in an LCIA arbitration relating to a political risk insurance dispute arising from the July 2021 riots in South Africa.</w:t>
      </w:r>
    </w:p>
    <w:p/>
    <w:p>
      <w:pPr>
        <w:pStyle w:val="Heading2"/>
      </w:pPr>
      <w:bookmarkStart w:id="4" w:name="_Toc4"/>
      <w:r>
        <w:t>Expertise</w:t>
      </w:r>
      <w:bookmarkEnd w:id="4"/>
    </w:p>
    <w:p/>
    <w:p>
      <w:pPr>
        <w:pStyle w:val="Heading3"/>
      </w:pPr>
      <w:bookmarkStart w:id="5" w:name="_Toc5"/>
      <w:r>
        <w:t>Aviation &amp; Travel</w:t>
      </w:r>
      <w:bookmarkEnd w:id="5"/>
    </w:p>
    <w:p>
      <w:pPr/>
      <w:r>
        <w:rPr/>
        <w:t xml:space="preserve">Niamh has a broad and varied aviation practice, encompassing commercial, regulatory, and aviation finance disputes. She has advised airlines on wide-ranging regulatory issues, including code-sharing and route access, immigration and border control, and various aspects of consumer law. Her practice encompasses technical aviation disputes, including in the fields of product liability and aviation leasing. She also advises on and acts in aviation insurance disputes.</w:t>
      </w:r>
    </w:p>
    <w:p/>
    <w:p>
      <w:pPr>
        <w:pStyle w:val="Heading4"/>
      </w:pPr>
      <w:bookmarkStart w:id="6" w:name="_Toc6"/>
      <w:r>
        <w:t>Notable cases</w:t>
      </w:r>
      <w:bookmarkEnd w:id="6"/>
    </w:p>
    <w:p>
      <w:pPr/>
      <w:r>
        <w:rPr>
          <w:b w:val="1"/>
          <w:bCs w:val="1"/>
        </w:rPr>
        <w:t xml:space="preserve">FW Aviation (Holdings) 1 Ltd v VietJet Aviation Joint Stock Co [2024] EWHC 1945 </w:t>
      </w:r>
    </w:p>
    <w:p>
      <w:pPr/>
      <w:r>
        <w:rPr/>
        <w:t xml:space="preserve">Instructed (with Richard Lissack KC, Akhil Shah KC et al) in a complex aviation leasing dispute involving claims under the Cape Town Convention and claims for breach of the lease return conditions. </w:t>
      </w:r>
    </w:p>
    <w:p/>
    <w:p>
      <w:pPr/>
      <w:r>
        <w:rPr>
          <w:b w:val="1"/>
          <w:bCs w:val="1"/>
        </w:rPr>
        <w:t xml:space="preserve">Re Ukrainian Aircraft Operator Policy Claims (Jurisdiction Applications) [2024] EWHC 1365 (Comm)</w:t>
      </w:r>
    </w:p>
    <w:p>
      <w:pPr/>
      <w:r>
        <w:rPr/>
        <w:t xml:space="preserve">Instructed (with James Brocklebank KC) by various reinsurers in a successful jurisdiction challenge against claims brought under hull war risks policies following the Russian invasion of Ukraine. </w:t>
      </w:r>
    </w:p>
    <w:p/>
    <w:p>
      <w:pPr/>
      <w:r>
        <w:rPr>
          <w:b w:val="1"/>
          <w:bCs w:val="1"/>
        </w:rPr>
        <w:t xml:space="preserve">On the Beach Ltd v Ryanair UK Ltd [2023] EWHC 2694 (Comm)</w:t>
      </w:r>
    </w:p>
    <w:p>
      <w:pPr/>
      <w:r>
        <w:rPr/>
        <w:t xml:space="preserve">Acted (with Brian Kennelly KC) for Ryanair in a claim brought by several online travel agents under the Package Travel and Linked Travel Arrangements Regulations 2018.</w:t>
      </w:r>
    </w:p>
    <w:p/>
    <w:p>
      <w:pPr/>
      <w:r>
        <w:rPr>
          <w:b w:val="1"/>
          <w:bCs w:val="1"/>
        </w:rPr>
        <w:t xml:space="preserve">Cooper v dnata Catering Services Limited [2022] EWHC 2216 (Comm)</w:t>
      </w:r>
    </w:p>
    <w:p>
      <w:pPr/>
      <w:r>
        <w:rPr/>
        <w:t xml:space="preserve">Successfully defended, as sole counsel, an airline catering company from a claim arising from an alleged breach of a shareholders’ agreement.</w:t>
      </w:r>
    </w:p>
    <w:p/>
    <w:p>
      <w:pPr/>
      <w:r>
        <w:rPr>
          <w:b w:val="1"/>
          <w:bCs w:val="1"/>
        </w:rPr>
        <w:t xml:space="preserve">On the Beach Limited v Ryanair UK Limited</w:t>
      </w:r>
    </w:p>
    <w:p>
      <w:pPr/>
      <w:r>
        <w:rPr/>
        <w:t xml:space="preserve">Acted (with Brian Kennelly KC, Sarah Abram KC et al) for Ryanair in a claim for alleged breach of dominant position.</w:t>
      </w:r>
    </w:p>
    <w:p/>
    <w:p>
      <w:pPr/>
      <w:r>
        <w:rPr>
          <w:b w:val="1"/>
          <w:bCs w:val="1"/>
        </w:rPr>
        <w:t xml:space="preserve">Travel Republic Limited v Ryanair DAC and Ryanair UK Limited</w:t>
      </w:r>
    </w:p>
    <w:p>
      <w:pPr/>
      <w:r>
        <w:rPr/>
        <w:t xml:space="preserve">Instructed (with Brian Kennelly and Nicolas Damnjanovic) on behalf of Ryanair in a claim under the Package Travel and Linked Travel Arrangements Regulations 2018.</w:t>
      </w:r>
    </w:p>
    <w:p/>
    <w:p>
      <w:pPr/>
      <w:r>
        <w:rPr>
          <w:b w:val="1"/>
          <w:bCs w:val="1"/>
        </w:rPr>
        <w:t xml:space="preserve">Inquest into the death of Emiliano Sala</w:t>
      </w:r>
    </w:p>
    <w:p>
      <w:pPr/>
      <w:r>
        <w:rPr/>
        <w:t xml:space="preserve">Acting for aircraft manufacturer Piper Aircraft Inc in the inquest into the death of Emiliano Sala, an international footballer who was killed when the aircraft in which he was travelling crashed into the English Channel in January 2019.</w:t>
      </w:r>
    </w:p>
    <w:p/>
    <w:p>
      <w:pPr/>
      <w:r>
        <w:rPr>
          <w:b w:val="1"/>
          <w:bCs w:val="1"/>
        </w:rPr>
        <w:t xml:space="preserve">Shoreham Airshow Inquest</w:t>
      </w:r>
    </w:p>
    <w:p>
      <w:pPr/>
      <w:r>
        <w:rPr/>
        <w:t xml:space="preserve">Appeared on behalf of The RAFA Air Show Limited in the inquest into the 2015 Shoreham Airshow crash. </w:t>
      </w:r>
    </w:p>
    <w:p/>
    <w:p>
      <w:pPr/>
      <w:r>
        <w:rPr>
          <w:b w:val="1"/>
          <w:bCs w:val="1"/>
        </w:rPr>
        <w:t xml:space="preserve">Credit Suisse A.G. v Global Business Assets Investments Incorporated and Another</w:t>
      </w:r>
    </w:p>
    <w:p>
      <w:pPr/>
      <w:r>
        <w:rPr/>
        <w:t xml:space="preserve">Acted (with Akhil Shah KC) in a claim brought by Credit Suisse following repossession and sale of an aircraft.</w:t>
      </w:r>
    </w:p>
    <w:p/>
    <w:p>
      <w:pPr/>
      <w:r>
        <w:rPr/>
        <w:t xml:space="preserve">Successfully defended (as sole counsel) an airline under investigation by the Competition and Markets Authority.</w:t>
      </w:r>
    </w:p>
    <w:p/>
    <w:p>
      <w:pPr/>
      <w:r>
        <w:rPr/>
        <w:t xml:space="preserve">Various enforcement and possession claims in respect of both mortgaged and leased aircraft.</w:t>
      </w:r>
    </w:p>
    <w:p/>
    <w:p>
      <w:pPr>
        <w:pStyle w:val="Heading3"/>
      </w:pPr>
      <w:bookmarkStart w:id="7" w:name="_Toc7"/>
      <w:r>
        <w:t>Banking &amp; Finance</w:t>
      </w:r>
      <w:bookmarkEnd w:id="7"/>
    </w:p>
    <w:p/>
    <w:p>
      <w:pPr>
        <w:pStyle w:val="Heading4"/>
      </w:pPr>
      <w:bookmarkStart w:id="8" w:name="_Toc8"/>
      <w:r>
        <w:t>Notable cases</w:t>
      </w:r>
      <w:bookmarkEnd w:id="8"/>
    </w:p>
    <w:p>
      <w:pPr/>
      <w:r>
        <w:rPr>
          <w:b w:val="1"/>
          <w:bCs w:val="1"/>
        </w:rPr>
        <w:t xml:space="preserve">CNM Estates (Tolworth Tower) Ltd v Vecref I Sarl [2020] EWHC 1605 (Comm)</w:t>
      </w:r>
    </w:p>
    <w:p>
      <w:pPr/>
      <w:r>
        <w:rPr/>
        <w:t xml:space="preserve">Led by Mark Simpson KC in a dispute regarding the proper construction of certain terms of the LMA syndicated loan documentation.</w:t>
      </w:r>
    </w:p>
    <w:p/>
    <w:p>
      <w:pPr/>
      <w:r>
        <w:rPr>
          <w:b w:val="1"/>
          <w:bCs w:val="1"/>
        </w:rPr>
        <w:t xml:space="preserve">HMG Investment Holdings Limited v Royal Bank of Scotland [2018] EWHC 3492 (Comm)</w:t>
      </w:r>
    </w:p>
    <w:p>
      <w:pPr/>
      <w:r>
        <w:rPr/>
        <w:t xml:space="preserve">Successfully (led by Andrew Ayers KC) defended a bank in respect of the mis-sale of an interest rate hedging product.</w:t>
      </w:r>
    </w:p>
    <w:p/>
    <w:p>
      <w:pPr/>
      <w:r>
        <w:rPr/>
        <w:t xml:space="preserve">Successfully represented the liquidators of a major financial institution in the adjudication of several confidential claims following the insolvency of the institution.</w:t>
      </w:r>
    </w:p>
    <w:p/>
    <w:p>
      <w:pPr>
        <w:pStyle w:val="Heading3"/>
      </w:pPr>
      <w:bookmarkStart w:id="9" w:name="_Toc9"/>
      <w:r>
        <w:t>Commercial Disputes</w:t>
      </w:r>
      <w:bookmarkEnd w:id="9"/>
    </w:p>
    <w:p/>
    <w:p>
      <w:pPr>
        <w:pStyle w:val="Heading4"/>
      </w:pPr>
      <w:bookmarkStart w:id="10" w:name="_Toc10"/>
      <w:r>
        <w:t>Notable cases</w:t>
      </w:r>
      <w:bookmarkEnd w:id="10"/>
    </w:p>
    <w:p>
      <w:pPr/>
      <w:r>
        <w:rPr>
          <w:b w:val="1"/>
          <w:bCs w:val="1"/>
        </w:rPr>
        <w:t xml:space="preserve">Cooper v dnata Catering Services Limited [2022] EWHC 2216 (Comm)</w:t>
      </w:r>
    </w:p>
    <w:p>
      <w:pPr/>
      <w:r>
        <w:rPr/>
        <w:t xml:space="preserve">Successfully defended, as sole counsel, an airline catering company from a claim arising from an alleged breach of a shareholders’ agreement.</w:t>
      </w:r>
    </w:p>
    <w:p/>
    <w:p>
      <w:pPr/>
      <w:r>
        <w:rPr>
          <w:b w:val="1"/>
          <w:bCs w:val="1"/>
        </w:rPr>
        <w:t xml:space="preserve">Kazakhstan Kagazy Plc v Zhunus [2017] EWHC 3374 (Comm) and [2018] EWHC 369 (Comm)</w:t>
      </w:r>
    </w:p>
    <w:p>
      <w:pPr/>
      <w:r>
        <w:rPr/>
        <w:t xml:space="preserve">Acting (with Michael Ashcroft KC and Alexander Milner KC) for the respondent in respect of enforcement proceedings brought against a non-party, following a US$300 million judgment handed down against the principal defendants.</w:t>
      </w:r>
    </w:p>
    <w:p/>
    <w:p>
      <w:pPr/>
      <w:r>
        <w:rPr/>
        <w:t xml:space="preserve">Various commercial disputes, including breach of warranty disputes, indemnity claims, and commercial debt claims. </w:t>
      </w:r>
    </w:p>
    <w:p/>
    <w:p>
      <w:pPr>
        <w:pStyle w:val="Heading3"/>
      </w:pPr>
      <w:bookmarkStart w:id="11" w:name="_Toc11"/>
      <w:r>
        <w:t>Competition</w:t>
      </w:r>
      <w:bookmarkEnd w:id="11"/>
    </w:p>
    <w:p/>
    <w:p>
      <w:pPr>
        <w:pStyle w:val="Heading4"/>
      </w:pPr>
      <w:bookmarkStart w:id="12" w:name="_Toc12"/>
      <w:r>
        <w:t>Notable cases</w:t>
      </w:r>
      <w:bookmarkEnd w:id="12"/>
    </w:p>
    <w:p>
      <w:pPr/>
      <w:r>
        <w:rPr>
          <w:b w:val="1"/>
          <w:bCs w:val="1"/>
        </w:rPr>
        <w:t xml:space="preserve">AD Tech Collective Action LLP v Alphabet Inc [2024] CAT 38 </w:t>
      </w:r>
    </w:p>
    <w:p>
      <w:pPr/>
      <w:r>
        <w:rPr/>
        <w:t xml:space="preserve">Instructed (with Robert O’Donoghue KC, Gerry Facenna KC et al) by the class representative in its successful application to certify collective proceedings on behalf of UK publishers who have suffered loss as a result of Google’s abuse of dominant position in the adtech sector. </w:t>
      </w:r>
    </w:p>
    <w:p/>
    <w:p>
      <w:pPr/>
      <w:r>
        <w:rPr>
          <w:b w:val="1"/>
          <w:bCs w:val="1"/>
        </w:rPr>
        <w:t xml:space="preserve">UK Trucks Claim Ltd v Stellantis NV (formerly Fiat Chrysler Automobiles NV) [2022] CAT 25 </w:t>
      </w:r>
    </w:p>
    <w:p>
      <w:pPr/>
      <w:r>
        <w:rPr/>
        <w:t xml:space="preserve">Acted (with Rhodri Thompson KC and Nicholas Gibson) for UK Trucks Claim Ltd in its application for permission to bring collective proceedings for damages arising from the anti-competitive practices of a cartel of European truck manufacturers. This case was listed in </w:t>
      </w:r>
      <w:r>
        <w:rPr>
          <w:i w:val="1"/>
          <w:iCs w:val="1"/>
        </w:rPr>
        <w:t xml:space="preserve">The Lawyer’s</w:t>
      </w:r>
      <w:r>
        <w:rPr/>
        <w:t xml:space="preserve"> Top 20 Cases of 2019.</w:t>
      </w:r>
    </w:p>
    <w:p/>
    <w:p>
      <w:pPr/>
      <w:r>
        <w:rPr>
          <w:b w:val="1"/>
          <w:bCs w:val="1"/>
        </w:rPr>
        <w:t xml:space="preserve">On the Beach Limited v Ryanair UK Limited and Ryanair</w:t>
      </w:r>
    </w:p>
    <w:p>
      <w:pPr/>
      <w:r>
        <w:rPr/>
        <w:t xml:space="preserve">Acted (with Brian Kennelly KC, Sarah Abram KC et al) for Ryanair in a claim for alleged breach of dominant position.</w:t>
      </w:r>
    </w:p>
    <w:p/>
    <w:p>
      <w:pPr/>
      <w:r>
        <w:rPr/>
        <w:t xml:space="preserve">Instructed to advise on competition law issues in various claims, including a trade credit insurance scheme and abuse of dominant position in the gambling sector. </w:t>
      </w:r>
    </w:p>
    <w:p/>
    <w:p>
      <w:pPr>
        <w:pStyle w:val="Heading3"/>
      </w:pPr>
      <w:bookmarkStart w:id="13" w:name="_Toc13"/>
      <w:r>
        <w:t>Insurance &amp;amp; Reinsurance</w:t>
      </w:r>
      <w:bookmarkEnd w:id="13"/>
    </w:p>
    <w:p>
      <w:pPr/>
      <w:r>
        <w:rPr/>
        <w:t xml:space="preserve">Niamh has acted across a wide range of insurance disputes, with a particular emphasis on political risk insurance and aviation insurance.</w:t>
      </w:r>
    </w:p>
    <w:p/>
    <w:p>
      <w:pPr>
        <w:pStyle w:val="Heading4"/>
      </w:pPr>
      <w:bookmarkStart w:id="14" w:name="_Toc14"/>
      <w:r>
        <w:t>Notable cases</w:t>
      </w:r>
      <w:bookmarkEnd w:id="14"/>
    </w:p>
    <w:p>
      <w:pPr/>
      <w:r>
        <w:rPr>
          <w:b w:val="1"/>
          <w:bCs w:val="1"/>
        </w:rPr>
        <w:t xml:space="preserve">Re Ukrainian Aircraft Operator Policy Claims (Jurisdiction Applications) [2024] EWHC 1365 (Comm)</w:t>
      </w:r>
    </w:p>
    <w:p>
      <w:pPr/>
      <w:r>
        <w:rPr/>
        <w:t xml:space="preserve">Instructed (with James Brocklebank KC) by various reinsurers in a successful jurisdiction challenge against claims brought under hull war risks policies following the Russian invasion of Ukraine.</w:t>
      </w:r>
    </w:p>
    <w:p/>
    <w:p>
      <w:pPr/>
      <w:r>
        <w:rPr>
          <w:b w:val="1"/>
          <w:bCs w:val="1"/>
        </w:rPr>
        <w:t xml:space="preserve">Brazaline Ltd &amp; Anor v Lloyd's Syndicate 510 KLN</w:t>
      </w:r>
    </w:p>
    <w:p>
      <w:pPr/>
      <w:r>
        <w:rPr/>
        <w:t xml:space="preserve">Instructed in a war hull risks insurance claim following the Russian invasion of Ukraine.</w:t>
      </w:r>
    </w:p>
    <w:p/>
    <w:p>
      <w:pPr/>
      <w:r>
        <w:rPr>
          <w:b w:val="1"/>
          <w:bCs w:val="1"/>
        </w:rPr>
        <w:t xml:space="preserve">White Oak Europe Acquisition Limited v Axis Managing Agency Limited</w:t>
      </w:r>
    </w:p>
    <w:p>
      <w:pPr/>
      <w:r>
        <w:rPr/>
        <w:t xml:space="preserve">Acting (with Patricia Robertson KC) in a claim under a Warranty and Indemnity policy.</w:t>
      </w:r>
    </w:p>
    <w:p/>
    <w:p>
      <w:pPr/>
      <w:r>
        <w:rPr>
          <w:b w:val="1"/>
          <w:bCs w:val="1"/>
        </w:rPr>
        <w:t xml:space="preserve">A v B</w:t>
      </w:r>
    </w:p>
    <w:p>
      <w:pPr/>
      <w:r>
        <w:rPr/>
        <w:t xml:space="preserve">Acting (with Leigh-Ann Mulcahy KC and Ben Lynch KC) in an LCIA arbitration relating to a political risk insurance dispute arising from the July 2021 riots in South Africa.</w:t>
      </w:r>
    </w:p>
    <w:p/>
    <w:p>
      <w:pPr/>
      <w:r>
        <w:rPr>
          <w:b w:val="1"/>
          <w:bCs w:val="1"/>
        </w:rPr>
        <w:t xml:space="preserve">A v B</w:t>
      </w:r>
    </w:p>
    <w:p>
      <w:pPr/>
      <w:r>
        <w:rPr/>
        <w:t xml:space="preserve">Acting (with Charles Béar KC and Ben Lynch KC) in an LCIA arbitration relating to a political risk reinsurance dispute.</w:t>
      </w:r>
    </w:p>
    <w:p/>
    <w:p>
      <w:pPr/>
      <w:r>
        <w:rPr/>
        <w:t xml:space="preserve">Instructed (as sole counsel) by the Ministry of Defence to advise on environmental and property damages indemnity claims.</w:t>
      </w:r>
    </w:p>
    <w:p/>
    <w:p>
      <w:pPr>
        <w:pStyle w:val="Heading3"/>
      </w:pPr>
      <w:bookmarkStart w:id="15" w:name="_Toc15"/>
      <w:r>
        <w:t>Group Litigation</w:t>
      </w:r>
      <w:bookmarkEnd w:id="15"/>
    </w:p>
    <w:p/>
    <w:p>
      <w:pPr>
        <w:pStyle w:val="Heading4"/>
      </w:pPr>
      <w:bookmarkStart w:id="16" w:name="_Toc16"/>
      <w:r>
        <w:t>Notable cases</w:t>
      </w:r>
      <w:bookmarkEnd w:id="16"/>
    </w:p>
    <w:p>
      <w:pPr/>
      <w:r>
        <w:rPr>
          <w:b w:val="1"/>
          <w:bCs w:val="1"/>
        </w:rPr>
        <w:t xml:space="preserve">AD Tech Collective Action LLP v Alphabet Inc [2024] CAT 38 </w:t>
      </w:r>
    </w:p>
    <w:p>
      <w:pPr/>
      <w:r>
        <w:rPr/>
        <w:t xml:space="preserve">Instructed (with Robert O’Donoghue KC, Gerry Facenna KC et al) by the class representative in its successful application to certify collective proceedings on behalf of UK publishers who have suffered loss as a result of Google’s abuse of its dominant position in the adtech sector.</w:t>
      </w:r>
    </w:p>
    <w:p/>
    <w:p>
      <w:pPr/>
      <w:r>
        <w:rPr>
          <w:b w:val="1"/>
          <w:bCs w:val="1"/>
        </w:rPr>
        <w:t xml:space="preserve">UK Trucks Claim Ltd v Stellantis NV (formerly Fiat Chrysler Automobiles NV) [2022] CAT 25 </w:t>
      </w:r>
    </w:p>
    <w:p>
      <w:pPr/>
      <w:r>
        <w:rPr/>
        <w:t xml:space="preserve">Acted (with Rhodri Thompson KC and Nicholas Gibson) for UK Trucks Claim Ltd in its application for a collective proceedings order for damages arising from the anti-competitive practices of a cartel of European truck manufacturers over a 14-year period (listed in </w:t>
      </w:r>
      <w:r>
        <w:rPr>
          <w:i w:val="1"/>
          <w:iCs w:val="1"/>
        </w:rPr>
        <w:t xml:space="preserve">The Lawyer</w:t>
      </w:r>
      <w:r>
        <w:rPr/>
        <w:t xml:space="preserve">’s 20 Top 20 Cases of 2019).</w:t>
      </w:r>
    </w:p>
    <w:p/>
    <w:p>
      <w:pPr/>
      <w:r>
        <w:rPr>
          <w:b w:val="1"/>
          <w:bCs w:val="1"/>
        </w:rPr>
        <w:t xml:space="preserve">Rowe &amp; Ors v Ingenious Media Holdings Plc &amp; Ors [2020] EWHC 1731 (Ch)</w:t>
      </w:r>
    </w:p>
    <w:p>
      <w:pPr/>
      <w:r>
        <w:rPr/>
        <w:t xml:space="preserve">Instructed (with Richard Coleman KC and David Yates KC) by Coutts in the Ingenious Litigation to defend claims arising from advice given in respect of investments in the Ingenious film partnerships. This case was listed in </w:t>
      </w:r>
      <w:r>
        <w:rPr>
          <w:i w:val="1"/>
          <w:iCs w:val="1"/>
        </w:rPr>
        <w:t xml:space="preserve">The Lawyer</w:t>
      </w:r>
      <w:r>
        <w:rPr/>
        <w:t xml:space="preserve">’s Top 20 Cases of 2018.</w:t>
      </w:r>
    </w:p>
    <w:p/>
    <w:p>
      <w:pPr>
        <w:pStyle w:val="Heading3"/>
      </w:pPr>
      <w:bookmarkStart w:id="17" w:name="_Toc17"/>
      <w:r>
        <w:t>International Arbitration</w:t>
      </w:r>
      <w:bookmarkEnd w:id="17"/>
    </w:p>
    <w:p>
      <w:pPr/>
      <w:r>
        <w:rPr/>
        <w:t xml:space="preserve">Niamh has acted in a number of arbitrations under various institutional rules including, LCIA, ICC and SIAC.</w:t>
      </w:r>
    </w:p>
    <w:p/>
    <w:p>
      <w:pPr>
        <w:pStyle w:val="Heading4"/>
      </w:pPr>
      <w:bookmarkStart w:id="18" w:name="_Toc18"/>
      <w:r>
        <w:t>Notable cases</w:t>
      </w:r>
      <w:bookmarkEnd w:id="18"/>
    </w:p>
    <w:p>
      <w:pPr/>
      <w:r>
        <w:rPr>
          <w:b w:val="1"/>
          <w:bCs w:val="1"/>
        </w:rPr>
        <w:t xml:space="preserve">A v B</w:t>
      </w:r>
    </w:p>
    <w:p>
      <w:pPr/>
      <w:r>
        <w:rPr/>
        <w:t xml:space="preserve">Instructed in an LCIA arbitration relating to a professional negligence claim (with Stephen Moriarty KC).</w:t>
      </w:r>
    </w:p>
    <w:p/>
    <w:p>
      <w:pPr/>
      <w:r>
        <w:rPr>
          <w:b w:val="1"/>
          <w:bCs w:val="1"/>
        </w:rPr>
        <w:t xml:space="preserve">A v B</w:t>
      </w:r>
    </w:p>
    <w:p>
      <w:pPr/>
      <w:r>
        <w:rPr/>
        <w:t xml:space="preserve">Acting (with Leigh-Ann Mulcahy KC and Ben Lynch KC) in an LCIA arbitration relating to a political risk insurance dispute arising from the July 2021 riots in South Africa.</w:t>
      </w:r>
    </w:p>
    <w:p/>
    <w:p>
      <w:pPr/>
      <w:r>
        <w:rPr>
          <w:b w:val="1"/>
          <w:bCs w:val="1"/>
        </w:rPr>
        <w:t xml:space="preserve">A v B</w:t>
      </w:r>
    </w:p>
    <w:p>
      <w:pPr/>
      <w:r>
        <w:rPr/>
        <w:t xml:space="preserve">Instructed in an LCIA arbitration relating to a £500 million+ reinsurance dispute (with Charles Béar KC and Ben Lynch KC).</w:t>
      </w:r>
    </w:p>
    <w:p/>
    <w:p>
      <w:pPr/>
      <w:r>
        <w:rPr>
          <w:b w:val="1"/>
          <w:bCs w:val="1"/>
        </w:rPr>
        <w:t xml:space="preserve">A v B</w:t>
      </w:r>
    </w:p>
    <w:p>
      <w:pPr/>
      <w:r>
        <w:rPr/>
        <w:t xml:space="preserve">Acting in an ICC claim relating to the licensing of football broadcasting rights.</w:t>
      </w:r>
    </w:p>
    <w:p/>
    <w:p>
      <w:pPr>
        <w:pStyle w:val="Heading3"/>
      </w:pPr>
      <w:bookmarkStart w:id="19" w:name="_Toc19"/>
      <w:r>
        <w:t>Media &amp; Entertainment</w:t>
      </w:r>
      <w:bookmarkEnd w:id="19"/>
    </w:p>
    <w:p/>
    <w:p>
      <w:pPr>
        <w:pStyle w:val="Heading4"/>
      </w:pPr>
      <w:bookmarkStart w:id="20" w:name="_Toc20"/>
      <w:r>
        <w:t>Notable cases</w:t>
      </w:r>
      <w:bookmarkEnd w:id="20"/>
    </w:p>
    <w:p>
      <w:pPr/>
      <w:r>
        <w:rPr/>
        <w:t xml:space="preserve">Instructed as sole counsel to advise on commercial claims arising from an alleged failure to comply with the Gambling Commission Regulations.</w:t>
      </w:r>
    </w:p>
    <w:p/>
    <w:p>
      <w:pPr/>
      <w:r>
        <w:rPr/>
        <w:t xml:space="preserve">Acting </w:t>
      </w:r>
      <w:r>
        <w:rPr>
          <w:rFonts w:ascii="Var(--bs-body-font-family)" w:hAnsi="Var(--bs-body-font-family)" w:eastAsia="Var(--bs-body-font-family)" w:cs="Var(--bs-body-font-family)"/>
          <w:color w:val="var(--bs-body-color)"/>
          <w:b w:val="0"/>
          <w:bCs w:val="0"/>
          <w:shd w:val="clear" w:fill="var(--bs-body-bg)"/>
        </w:rPr>
        <w:t xml:space="preserve">in an ICC arbitration relating to the licensing of football broadcasting rights.</w:t>
      </w:r>
    </w:p>
    <w:p/>
    <w:p>
      <w:pPr>
        <w:pStyle w:val="Heading3"/>
      </w:pPr>
      <w:bookmarkStart w:id="21" w:name="_Toc21"/>
      <w:r>
        <w:t>Procurement</w:t>
      </w:r>
      <w:bookmarkEnd w:id="21"/>
    </w:p>
    <w:p/>
    <w:p>
      <w:pPr>
        <w:pStyle w:val="Heading4"/>
      </w:pPr>
      <w:bookmarkStart w:id="22" w:name="_Toc22"/>
      <w:r>
        <w:t>Notable cases</w:t>
      </w:r>
      <w:bookmarkEnd w:id="22"/>
    </w:p>
    <w:p>
      <w:pPr/>
      <w:r>
        <w:rPr>
          <w:b w:val="1"/>
          <w:bCs w:val="1"/>
        </w:rPr>
        <w:t xml:space="preserve">R (Good Law Project) v The Secretary of Health for Social Care [2022] EWHC 2468 (TCC)</w:t>
      </w:r>
    </w:p>
    <w:p>
      <w:pPr/>
      <w:r>
        <w:rPr/>
        <w:t xml:space="preserve">Successfully defended the Secretary of Health for Social Care in a procurement challenge brought under the Public Contracts and Utilities Regulations in respect of the award of antibody testing contracts during the Covid-19 pandemic.</w:t>
      </w:r>
    </w:p>
    <w:p/>
    <w:p>
      <w:pPr/>
      <w:r>
        <w:rPr>
          <w:b w:val="1"/>
          <w:bCs w:val="1"/>
        </w:rPr>
        <w:t xml:space="preserve">Secretary of State for Transport v Arriva Rail East Midlands Ltd [2020] EWHC 1568 (TCC)</w:t>
      </w:r>
    </w:p>
    <w:p>
      <w:pPr/>
      <w:r>
        <w:rPr/>
        <w:t xml:space="preserve">Successfully defended the Secretary of State for Transport in four separate procurement claims arising from the disqualification of bidders from three separate franchise competitions for failing to comply with the pension requirements of the competitions.</w:t>
      </w:r>
    </w:p>
    <w:p/>
    <w:p>
      <w:pPr/>
      <w:r>
        <w:rPr/>
        <w:t xml:space="preserve">Instructed to advise the Ministry of Defence in a procurement challenge brought under the Public Contracts and Utilities Regulations 2015.</w:t>
      </w:r>
    </w:p>
    <w:p/>
    <w:p>
      <w:pPr/>
      <w:r>
        <w:rPr/>
        <w:t xml:space="preserve">Instructed to advise the Secretary of Health for Social Care in a procurement challenge brought under the Public Contracts and Utilities Regulations 2015.</w:t>
      </w:r>
    </w:p>
    <w:p/>
    <w:p>
      <w:pPr>
        <w:pStyle w:val="Heading3"/>
      </w:pPr>
      <w:bookmarkStart w:id="23" w:name="_Toc23"/>
      <w:r>
        <w:t>Professional Negligence</w:t>
      </w:r>
      <w:bookmarkEnd w:id="23"/>
    </w:p>
    <w:p/>
    <w:p>
      <w:pPr>
        <w:pStyle w:val="Heading4"/>
      </w:pPr>
      <w:bookmarkStart w:id="24" w:name="_Toc24"/>
      <w:r>
        <w:t>Notable cases</w:t>
      </w:r>
      <w:bookmarkEnd w:id="24"/>
    </w:p>
    <w:p>
      <w:pPr/>
      <w:r>
        <w:rPr>
          <w:b w:val="1"/>
          <w:bCs w:val="1"/>
        </w:rPr>
        <w:t xml:space="preserve">A v B</w:t>
      </w:r>
    </w:p>
    <w:p>
      <w:pPr/>
      <w:r>
        <w:rPr/>
        <w:t xml:space="preserve">Instructed in an LCIA arbitration relating to a professional negligence claim (with Stephen Moriarty KC).</w:t>
      </w:r>
    </w:p>
    <w:p/>
    <w:p>
      <w:pPr/>
      <w:r>
        <w:rPr>
          <w:b w:val="1"/>
          <w:bCs w:val="1"/>
        </w:rPr>
        <w:t xml:space="preserve">Rowe &amp; Ors v Ingenious Media Holdings Plc &amp; Ors  [2020] EWHC 1731 (Ch)</w:t>
      </w:r>
    </w:p>
    <w:p>
      <w:pPr/>
      <w:r>
        <w:rPr/>
        <w:t xml:space="preserve">Instructed by Coutts in the Ingenious Litigation to defend claims arising from advice given in respect of investments in the Ingenious film partnerships. Led by Richard Coleman KC and David Yates KC, instructed by TLT LLP. This case was listed in </w:t>
      </w:r>
      <w:r>
        <w:rPr>
          <w:i w:val="1"/>
          <w:iCs w:val="1"/>
        </w:rPr>
        <w:t xml:space="preserve">The Lawyer’s</w:t>
      </w:r>
      <w:r>
        <w:rPr/>
        <w:t xml:space="preserve"> Top 20 Cases of 2018.</w:t>
      </w:r>
    </w:p>
    <w:p/>
    <w:p>
      <w:pPr/>
      <w:r>
        <w:rPr>
          <w:b w:val="1"/>
          <w:bCs w:val="1"/>
        </w:rPr>
        <w:t xml:space="preserve">CNM Estates (Tolworth Tower) Limited v (1) Vecref I Sarl [2020] EWHC 1605 (Comm)</w:t>
      </w:r>
    </w:p>
    <w:p>
      <w:pPr/>
      <w:r>
        <w:rPr/>
        <w:t xml:space="preserve">Acted (with Mark Simpson KC) for LPA receivers in a multiparty professional negligence claim. </w:t>
      </w:r>
    </w:p>
    <w:p/>
    <w:p>
      <w:pPr/>
      <w:r>
        <w:rPr>
          <w:b w:val="1"/>
          <w:bCs w:val="1"/>
        </w:rPr>
        <w:t xml:space="preserve">Instant Access Property Limited v Rosser and Ors [2018] EWHC 756 (Ch)</w:t>
      </w:r>
    </w:p>
    <w:p>
      <w:pPr/>
      <w:r>
        <w:rPr/>
        <w:t xml:space="preserve">Successfully defending (led by Mark Simpson KC) a firm of accountants in a multiparty professional negligence and fraud claim. </w:t>
      </w:r>
    </w:p>
    <w:p/>
    <w:p>
      <w:pPr/>
      <w:r>
        <w:rPr/>
        <w:t xml:space="preserve">Instructed to advise on various claims against insurance brokers further to coverage disputes with insurers. </w:t>
      </w:r>
    </w:p>
    <w:p/>
    <w:p>
      <w:pPr>
        <w:pStyle w:val="Heading3"/>
      </w:pPr>
      <w:bookmarkStart w:id="25" w:name="_Toc25"/>
      <w:r>
        <w:t>Sports</w:t>
      </w:r>
      <w:bookmarkEnd w:id="25"/>
    </w:p>
    <w:p/>
    <w:p>
      <w:pPr>
        <w:pStyle w:val="Heading4"/>
      </w:pPr>
      <w:bookmarkStart w:id="26" w:name="_Toc26"/>
      <w:r>
        <w:t>Notable cases</w:t>
      </w:r>
      <w:bookmarkEnd w:id="26"/>
    </w:p>
    <w:p>
      <w:pPr/>
      <w:r>
        <w:rPr>
          <w:b w:val="1"/>
          <w:bCs w:val="1"/>
        </w:rPr>
        <w:t xml:space="preserve">Cardiff City FC v Mackay &amp; Ors</w:t>
      </w:r>
    </w:p>
    <w:p>
      <w:pPr/>
      <w:r>
        <w:rPr/>
        <w:t xml:space="preserve">Represented (led by Jeff Chapman KC and Caspar Glyn KC) the claimant football club in three separate sets of proceedings against its former head coach and others in relation to claims of conspiracy, misrepresentation, and unjust enrichment.</w:t>
      </w:r>
    </w:p>
    <w:p/>
    <w:p>
      <w:pPr/>
      <w:r>
        <w:rPr>
          <w:b w:val="1"/>
          <w:bCs w:val="1"/>
        </w:rPr>
        <w:t xml:space="preserve">A v B</w:t>
      </w:r>
    </w:p>
    <w:p>
      <w:pPr/>
      <w:r>
        <w:rPr/>
        <w:t xml:space="preserve">Acting in an ICC arbitration relating to the licensing of football broadcasting rights.</w:t>
      </w:r>
    </w:p>
    <w:p/>
    <w:p>
      <w:pPr/>
      <w:r>
        <w:rPr>
          <w:b w:val="1"/>
          <w:bCs w:val="1"/>
        </w:rPr>
        <w:t xml:space="preserve">Warren v Burns [2014] EWHC 3671</w:t>
      </w:r>
    </w:p>
    <w:p>
      <w:pPr/>
      <w:r>
        <w:rPr/>
        <w:t xml:space="preserve">Defended the boxer Ricky Burns in respect of claims and counterclaims arising from management and promotion agreements concluded between the parties. Led by Mark Simpson KC, instructed by Mishcon de Reya.</w:t>
      </w:r>
    </w:p>
    <w:p/>
    <w:p>
      <w:pPr>
        <w:pStyle w:val="Heading2"/>
      </w:pPr>
      <w:bookmarkStart w:id="27" w:name="_Toc27"/>
      <w:r>
        <w:t>Directory Quotes</w:t>
      </w:r>
      <w:bookmarkEnd w:id="27"/>
    </w:p>
    <w:p>
      <w:pPr/>
      <w:r>
        <w:rPr>
          <w:i w:val="1"/>
          <w:iCs w:val="1"/>
        </w:rPr>
        <w:t xml:space="preserve">“A superstar – she is a first class operator, super bright, super responsive, clients love her, good strategic thinker, great on her feet and on paper – she has a very bright future at the Bar. A silk in the making.”</w:t>
      </w:r>
    </w:p>
    <w:p>
      <w:pPr/>
      <w:r>
        <w:rPr/>
        <w:t xml:space="preserve">Legal 500</w:t>
      </w:r>
    </w:p>
    <w:p/>
    <w:p>
      <w:pPr/>
      <w:r>
        <w:rPr>
          <w:i w:val="1"/>
          <w:iCs w:val="1"/>
        </w:rPr>
        <w:t xml:space="preserve">"Niamh is a really good, tenacious and delightful advocate. She has a disarmingly friendly style but there's real steel in her advocacy."</w:t>
      </w:r>
    </w:p>
    <w:p>
      <w:pPr/>
      <w:r>
        <w:rPr/>
        <w:t xml:space="preserve">Chambers and Partners</w:t>
      </w:r>
    </w:p>
    <w:p/>
    <w:p>
      <w:pPr/>
      <w:r>
        <w:rPr>
          <w:i w:val="1"/>
          <w:iCs w:val="1"/>
        </w:rPr>
        <w:t xml:space="preserve">"Her ability to cross-fertilise is a big advantage; it makes her very versatile. She is strategically and tactically strong, and her instincts are way beyond her year of call."</w:t>
      </w:r>
    </w:p>
    <w:p>
      <w:pPr/>
      <w:r>
        <w:rPr/>
        <w:t xml:space="preserve">Chambers and Partners</w:t>
      </w:r>
    </w:p>
    <w:p/>
    <w:p>
      <w:pPr/>
      <w:r>
        <w:rPr>
          <w:i w:val="1"/>
          <w:iCs w:val="1"/>
        </w:rPr>
        <w:t xml:space="preserve">"Niamh is astonishingly bright and her analysis is always spot on. She is particularly adept at unravelling knotty areas of law. A junior who fights hard for her clients." </w:t>
      </w:r>
    </w:p>
    <w:p>
      <w:pPr/>
      <w:r>
        <w:rPr/>
        <w:t xml:space="preserve">Legal 500</w:t>
      </w:r>
    </w:p>
    <w:p/>
    <w:p>
      <w:pPr/>
      <w:r>
        <w:rPr>
          <w:i w:val="1"/>
          <w:iCs w:val="1"/>
        </w:rPr>
        <w:t xml:space="preserve">“Niamh is an absolute ball of energy and is an extraordinarily talented barrister – a real star in the making.” </w:t>
      </w:r>
    </w:p>
    <w:p>
      <w:pPr/>
      <w:r>
        <w:rPr>
          <w:i w:val="1"/>
          <w:iCs w:val="1"/>
        </w:rPr>
        <w:t xml:space="preserve">“Niamh is an outstanding litigation junior - she works hard, wastes no time in getting to the crux of the issues, and is always a great pleasure to work with.”</w:t>
      </w:r>
    </w:p>
    <w:p>
      <w:pPr/>
      <w:r>
        <w:rPr/>
        <w:t xml:space="preserve">Legal 500</w:t>
      </w:r>
    </w:p>
    <w:p/>
    <w:p>
      <w:pPr/>
      <w:r>
        <w:rPr>
          <w:i w:val="1"/>
          <w:iCs w:val="1"/>
        </w:rPr>
        <w:t xml:space="preserve">“Niamh is approachable, bright and always willing to go the extra mile.” </w:t>
      </w:r>
    </w:p>
    <w:p>
      <w:pPr/>
      <w:r>
        <w:rPr/>
        <w:t xml:space="preserve">Legal 500</w:t>
      </w:r>
    </w:p>
    <w:p/>
    <w:p>
      <w:pPr/>
      <w:r>
        <w:rPr>
          <w:i w:val="1"/>
          <w:iCs w:val="1"/>
        </w:rPr>
        <w:t xml:space="preserve">"Niamh has wisdom way beyond her years of call, is immensely hard working and is someone that clients love. She really pulls the drains up when required to do so, and covers all the angles of a case." </w:t>
      </w:r>
    </w:p>
    <w:p>
      <w:pPr/>
      <w:r>
        <w:rPr/>
        <w:t xml:space="preserve">Chambers &amp; Partners</w:t>
      </w:r>
    </w:p>
    <w:p/>
    <w:p>
      <w:pPr/>
      <w:r>
        <w:rPr>
          <w:i w:val="1"/>
          <w:iCs w:val="1"/>
        </w:rPr>
        <w:t xml:space="preserve">"Technically excellent and commercially excellent as well, she's really impressive." </w:t>
      </w:r>
    </w:p>
    <w:p>
      <w:pPr/>
      <w:r>
        <w:rPr/>
        <w:t xml:space="preserve">Chambers &amp; Partners</w:t>
      </w:r>
    </w:p>
    <w:p/>
    <w:p>
      <w:pPr/>
      <w:r>
        <w:rPr>
          <w:i w:val="1"/>
          <w:iCs w:val="1"/>
        </w:rPr>
        <w:t xml:space="preserve">"Niamh is phenomenally intelligent, organised and the all-round package - extremely impressive."</w:t>
      </w:r>
    </w:p>
    <w:p>
      <w:pPr/>
      <w:r>
        <w:rPr/>
        <w:t xml:space="preserve">Chambers &amp; Partners</w:t>
      </w:r>
    </w:p>
    <w:p/>
    <w:p/>
    <w:p>
      <w:pPr>
        <w:pStyle w:val="Heading2"/>
      </w:pPr>
      <w:bookmarkStart w:id="28" w:name="_Toc28"/>
      <w:r>
        <w:t>Directory Rankings</w:t>
      </w:r>
      <w:bookmarkEnd w:id="28"/>
    </w:p>
    <w:p>
      <w:pPr>
        <w:pStyle w:val="Heading4"/>
      </w:pPr>
      <w:r>
        <w:rPr/>
        <w:t xml:space="preserve">Chambers &amp; Partners – Global</w:t>
      </w:r>
    </w:p>
    <w:p>
      <w:pPr>
        <w:numPr>
          <w:ilvl w:val="0"/>
          <w:numId w:val="7"/>
        </w:numPr>
      </w:pPr>
      <w:r>
        <w:rPr/>
        <w:t xml:space="preserve">Competition Law</w:t>
      </w:r>
    </w:p>
    <w:p>
      <w:pPr>
        <w:pStyle w:val="Heading4"/>
      </w:pPr>
      <w:r>
        <w:rPr/>
        <w:t xml:space="preserve">Chambers &amp; Partners – UK</w:t>
      </w:r>
    </w:p>
    <w:p>
      <w:pPr>
        <w:numPr>
          <w:ilvl w:val="0"/>
          <w:numId w:val="8"/>
        </w:numPr>
      </w:pPr>
      <w:r>
        <w:rPr/>
        <w:t xml:space="preserve">Aviation</w:t>
      </w:r>
    </w:p>
    <w:p>
      <w:pPr>
        <w:numPr>
          <w:ilvl w:val="0"/>
          <w:numId w:val="8"/>
        </w:numPr>
      </w:pPr>
      <w:r>
        <w:rPr/>
        <w:t xml:space="preserve">Group Litigation</w:t>
      </w:r>
    </w:p>
    <w:p>
      <w:pPr>
        <w:numPr>
          <w:ilvl w:val="0"/>
          <w:numId w:val="8"/>
        </w:numPr>
      </w:pPr>
      <w:r>
        <w:rPr/>
        <w:t xml:space="preserve">Competition Law</w:t>
      </w:r>
    </w:p>
    <w:p>
      <w:pPr>
        <w:pStyle w:val="Heading4"/>
      </w:pPr>
      <w:r>
        <w:rPr/>
        <w:t xml:space="preserve">Legal 500</w:t>
      </w:r>
    </w:p>
    <w:p>
      <w:pPr>
        <w:numPr>
          <w:ilvl w:val="0"/>
          <w:numId w:val="10"/>
        </w:numPr>
      </w:pPr>
      <w:r>
        <w:rPr/>
        <w:t xml:space="preserve">Aviation</w:t>
      </w:r>
    </w:p>
    <w:p>
      <w:pPr>
        <w:numPr>
          <w:ilvl w:val="0"/>
          <w:numId w:val="10"/>
        </w:numPr>
      </w:pPr>
      <w:r>
        <w:rPr/>
        <w:t xml:space="preserve">Group Litigation</w:t>
      </w:r>
    </w:p>
    <w:p>
      <w:pPr>
        <w:numPr>
          <w:ilvl w:val="0"/>
          <w:numId w:val="10"/>
        </w:numPr>
      </w:pPr>
      <w:r>
        <w:rPr/>
        <w:t xml:space="preserve">Insurance &amp; Reinsurance</w:t>
      </w:r>
    </w:p>
    <w:p/>
    <w:p>
      <w:pPr>
        <w:pStyle w:val="Heading2"/>
      </w:pPr>
      <w:bookmarkStart w:id="29" w:name="_Toc29"/>
      <w:r>
        <w:t>Education</w:t>
      </w:r>
      <w:bookmarkEnd w:id="29"/>
    </w:p>
    <w:p>
      <w:pPr>
        <w:numPr>
          <w:ilvl w:val="0"/>
          <w:numId w:val="11"/>
        </w:numPr>
      </w:pPr>
      <w:r>
        <w:rPr/>
        <w:t xml:space="preserve">BPTC, BPP Law School (Very Competent)</w:t>
      </w:r>
    </w:p>
    <w:p>
      <w:pPr>
        <w:numPr>
          <w:ilvl w:val="0"/>
          <w:numId w:val="11"/>
        </w:numPr>
      </w:pPr>
      <w:r>
        <w:rPr/>
        <w:t xml:space="preserve">PhD, Trinity College Dublin</w:t>
      </w:r>
    </w:p>
    <w:p>
      <w:pPr>
        <w:numPr>
          <w:ilvl w:val="0"/>
          <w:numId w:val="11"/>
        </w:numPr>
      </w:pPr>
      <w:r>
        <w:rPr/>
        <w:t xml:space="preserve">LLM, Sidney Sussex College, University of Cambridge (First Class)</w:t>
      </w:r>
    </w:p>
    <w:p>
      <w:pPr>
        <w:numPr>
          <w:ilvl w:val="0"/>
          <w:numId w:val="11"/>
        </w:numPr>
      </w:pPr>
      <w:r>
        <w:rPr/>
        <w:t xml:space="preserve">LLB, Trinity College Dublin (First Class)</w:t>
      </w:r>
    </w:p>
    <w:p/>
    <w:p>
      <w:pPr>
        <w:pStyle w:val="Heading2"/>
      </w:pPr>
      <w:bookmarkStart w:id="30" w:name="_Toc30"/>
      <w:r>
        <w:t>International Bar / Court Appointments</w:t>
      </w:r>
      <w:bookmarkEnd w:id="30"/>
    </w:p>
    <w:p>
      <w:pPr>
        <w:numPr>
          <w:ilvl w:val="0"/>
          <w:numId w:val="12"/>
        </w:numPr>
      </w:pPr>
      <w:r>
        <w:rPr/>
        <w:t xml:space="preserve">Called to the Bar of the Republic of Ireland</w:t>
      </w:r>
    </w:p>
    <w:p/>
    <w:p>
      <w:pPr>
        <w:pStyle w:val="Heading2"/>
      </w:pPr>
      <w:bookmarkStart w:id="31" w:name="_Toc31"/>
      <w:r>
        <w:t>Appointments, Memberships and Prizes</w:t>
      </w:r>
      <w:bookmarkEnd w:id="31"/>
    </w:p>
    <w:p>
      <w:pPr>
        <w:numPr>
          <w:ilvl w:val="0"/>
          <w:numId w:val="13"/>
        </w:numPr>
      </w:pPr>
      <w:r>
        <w:rPr/>
        <w:t xml:space="preserve">Lord Denning Scholarship, The Honourable Society of Lincoln’s Inn (2011)</w:t>
      </w:r>
    </w:p>
    <w:p>
      <w:pPr>
        <w:numPr>
          <w:ilvl w:val="0"/>
          <w:numId w:val="13"/>
        </w:numPr>
      </w:pPr>
      <w:r>
        <w:rPr/>
        <w:t xml:space="preserve">Postgraduate Scholarship, Irish Research Council for the Humanities &amp; Social Sciences (2009)</w:t>
      </w:r>
    </w:p>
    <w:p>
      <w:pPr>
        <w:numPr>
          <w:ilvl w:val="0"/>
          <w:numId w:val="13"/>
        </w:numPr>
      </w:pPr>
      <w:r>
        <w:rPr/>
        <w:t xml:space="preserve">Leonard Coling Scholarship, Sidney Sussex College, University of Cambridge (2008)</w:t>
      </w:r>
    </w:p>
    <w:p>
      <w:pPr>
        <w:numPr>
          <w:ilvl w:val="0"/>
          <w:numId w:val="13"/>
        </w:numPr>
      </w:pPr>
      <w:r>
        <w:rPr/>
        <w:t xml:space="preserve">Trinity College Postgraduate Research Studentship Award, Trinity College Dublin (2008)</w:t>
      </w:r>
    </w:p>
    <w:p>
      <w:pPr>
        <w:numPr>
          <w:ilvl w:val="0"/>
          <w:numId w:val="13"/>
        </w:numPr>
      </w:pPr>
      <w:r>
        <w:rPr/>
        <w:t xml:space="preserve">Scholar of Trinity College Dublin (2005)</w:t>
      </w:r>
    </w:p>
    <w:p/>
    <w:p>
      <w:pPr>
        <w:pStyle w:val="Heading2"/>
      </w:pPr>
      <w:bookmarkStart w:id="32" w:name="_Toc32"/>
      <w:r>
        <w:t>Publications</w:t>
      </w:r>
      <w:bookmarkEnd w:id="32"/>
    </w:p>
    <w:p>
      <w:pPr>
        <w:numPr>
          <w:ilvl w:val="0"/>
          <w:numId w:val="14"/>
        </w:numPr>
      </w:pPr>
      <w:r>
        <w:rPr/>
        <w:t xml:space="preserve">Appeals under section 69 of the Arbitration Act 1996 in Puschmann (ed) </w:t>
      </w:r>
      <w:r>
        <w:rPr>
          <w:i w:val="1"/>
          <w:iCs w:val="1"/>
        </w:rPr>
        <w:t xml:space="preserve">Challenges in Arbitration </w:t>
      </w:r>
      <w:r>
        <w:rPr/>
        <w:t xml:space="preserve">(2019, Butterworths)</w:t>
      </w:r>
    </w:p>
    <w:p>
      <w:pPr>
        <w:numPr>
          <w:ilvl w:val="0"/>
          <w:numId w:val="14"/>
        </w:numPr>
      </w:pPr>
      <w:r>
        <w:rPr/>
        <w:t xml:space="preserve">Contributor, “Underwriters Negligence” in Simpson (ed) Professional Negligence and Liability</w:t>
      </w:r>
    </w:p>
    <w:p>
      <w:pPr>
        <w:numPr>
          <w:ilvl w:val="0"/>
          <w:numId w:val="14"/>
        </w:numPr>
      </w:pPr>
      <w:r>
        <w:rPr/>
        <w:t xml:space="preserve">“Opening and Closing Submissions”, in Sweet &amp; Maxwell, Law and Practice of Commercial Litigation in Singapore (2015)</w:t>
      </w:r>
    </w:p>
    <w:p>
      <w:pPr>
        <w:numPr>
          <w:ilvl w:val="0"/>
          <w:numId w:val="14"/>
        </w:numPr>
      </w:pPr>
      <w:r>
        <w:rPr/>
        <w:t xml:space="preserve">Property, Proportionality and the Defence of Change of Position”, in Mitchell, Elliott and Häcker (eds) Restitution of Overpaid Tax (2012)</w:t>
      </w:r>
    </w:p>
    <w:p>
      <w:pPr>
        <w:numPr>
          <w:ilvl w:val="0"/>
          <w:numId w:val="14"/>
        </w:numPr>
      </w:pPr>
      <w:r>
        <w:rPr/>
        <w:t xml:space="preserve">“More Questions than Answers: Test Claimants in the FII Group Litigation v Revenue and Customs Commissioners” (2013) 24 KLJ 130</w:t>
      </w:r>
    </w:p>
    <w:p>
      <w:pPr>
        <w:numPr>
          <w:ilvl w:val="0"/>
          <w:numId w:val="14"/>
        </w:numPr>
      </w:pPr>
      <w:r>
        <w:rPr/>
        <w:t xml:space="preserve">“Constitutional Principles and Restitution of Unlawfully Exacted Tax” in Carolan (ed), The Constitution of Ireland: Perspectives and Prospects (2012)</w:t>
      </w:r>
    </w:p>
    <w:p>
      <w:pPr>
        <w:numPr>
          <w:ilvl w:val="0"/>
          <w:numId w:val="14"/>
        </w:numPr>
      </w:pPr>
      <w:r>
        <w:rPr/>
        <w:t xml:space="preserve">“Restitution and Public Law” [2012] RLR 38</w:t>
      </w:r>
    </w:p>
    <w:p/>
    <w:p>
      <w:pPr>
        <w:pStyle w:val="Heading2"/>
      </w:pPr>
      <w:bookmarkStart w:id="33" w:name="_Toc33"/>
      <w:r>
        <w:t>Languages</w:t>
      </w:r>
      <w:bookmarkEnd w:id="33"/>
    </w:p>
    <w:p>
      <w:pPr>
        <w:numPr>
          <w:ilvl w:val="0"/>
          <w:numId w:val="15"/>
        </w:numPr>
      </w:pPr>
      <w:r>
        <w:rPr/>
        <w:t xml:space="preserve">French (conversational)</w:t>
      </w:r>
    </w:p>
    <w:p>
      <w:pPr>
        <w:numPr>
          <w:ilvl w:val="0"/>
          <w:numId w:val="15"/>
        </w:numPr>
      </w:pPr>
      <w:r>
        <w:rPr/>
        <w:t xml:space="preserve">Irish (conversational)</w:t>
      </w:r>
    </w:p>
    <w:p/>
    <w:p>
      <w:pPr>
        <w:pStyle w:val="Heading2"/>
      </w:pPr>
      <w:bookmarkStart w:id="34" w:name="_Toc34"/>
      <w:r>
        <w:t>Awards</w:t>
      </w:r>
      <w:bookmarkEnd w:id="34"/>
    </w:p>
    <w:p>
      <w:pPr/>
      <w:r>
        <w:pict>
          <v:shape type="#_x0000_t75" stroked="f" style="width:238pt; height:200pt; margin-left:0pt; margin-top:0pt; mso-position-horizontal:left; mso-position-vertical:top; mso-position-horizontal-relative:char; mso-position-vertical-relative:line;">
            <w10:wrap type="inline"/>
            <v:imagedata r:id="rId7" o:title=""/>
          </v:shape>
        </w:pict>
      </w:r>
    </w:p>
    <w:p>
      <w:pPr/>
      <w:r>
        <w:pict>
          <v:shape type="#_x0000_t75" stroked="f" style="width:163pt; height:180pt; margin-left:0pt; margin-top:0pt; mso-position-horizontal:left; mso-position-vertical:top; mso-position-horizontal-relative:char; mso-position-vertical-relative:line;">
            <w10:wrap type="inline"/>
            <v:imagedata r:id="rId8" o:title=""/>
          </v:shape>
        </w:pict>
      </w:r>
    </w:p>
    <w:sectPr>
      <w:head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pict>
        <v:shape type="#_x0000_t75" stroked="f" style="width:168pt; height:37pt; margin-left:0pt; margin-top:0pt; mso-position-horizontal:left; mso-position-vertical:top; mso-position-horizontal-relative:char; mso-position-vertical-relative:line;">
          <w10:wrap type="inline"/>
          <v:imagedata r:id="rId1" o:title=""/>
        </v:shape>
      </w:pict>
    </w:r>
  </w:p>
  <w:p>
    <w:pPr/>
    <w:r>
      <w:pict>
        <v:shape id="_x0000_s1002" type="#_x0000_t32" style="width:566.92913385827pt; height:0pt; margin-left:0pt; margin-top:0pt; mso-position-horizontal:left; mso-position-vertical:top; mso-position-horizontal-relative:char; mso-position-vertical-relative:line;">
          <w10:wrap type="inline"/>
          <v:stroke/>
        </v:shape>
      </w:pict>
    </w:r>
  </w:p>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7">
    <w:nsid w:val="343FE525"/>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o"/>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o"/>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o"/>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8">
    <w:nsid w:val="DBB08618"/>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o"/>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o"/>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o"/>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9">
    <w:nsid w:val="457613BB"/>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o"/>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o"/>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o"/>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0">
    <w:nsid w:val="0CFBD2B5"/>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o"/>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o"/>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o"/>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1">
    <w:nsid w:val="3997D40B"/>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o"/>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o"/>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o"/>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2">
    <w:nsid w:val="ECF75587"/>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o"/>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o"/>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o"/>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3">
    <w:nsid w:val="01F23C2F"/>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o"/>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o"/>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o"/>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4">
    <w:nsid w:val="D316605D"/>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o"/>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o"/>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o"/>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5">
    <w:nsid w:val="D3E5FB53"/>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o"/>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o"/>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o"/>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num w:numId="7">
    <w:abstractNumId w:val="7"/>
  </w:num>
  <w:num w:numId="8">
    <w:abstractNumId w:val="8"/>
  </w:num>
  <w:num w:numId="9">
    <w:abstractNumId w:val="9"/>
  </w:num>
  <w:num w:numId="10">
    <w:abstractNumId w:val="10"/>
  </w:num>
  <w:num w:numId="11">
    <w:abstractNumId w:val="11"/>
  </w:num>
  <w:num w:numId="12">
    <w:abstractNumId w:val="12"/>
  </w:num>
  <w:num w:numId="13">
    <w:abstractNumId w:val="13"/>
  </w:num>
  <w:num w:numId="14">
    <w:abstractNumId w:val="14"/>
  </w:num>
  <w:num w:numId="15">
    <w:abstractNumId w:val="15"/>
  </w:num>
</w:numbering>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spacing w:after="240"/>
    </w:pPr>
    <w:rPr>
      <w:sz w:val="48"/>
      <w:szCs w:val="48"/>
      <w:b w:val="1"/>
      <w:bCs w:val="1"/>
    </w:rPr>
  </w:style>
  <w:style w:type="paragraph" w:styleId="Heading2">
    <w:link w:val="Heading2Char"/>
    <w:name w:val="heading 2"/>
    <w:basedOn w:val="Normal"/>
    <w:pPr>
      <w:spacing w:after="150"/>
    </w:pPr>
    <w:rPr>
      <w:sz w:val="42"/>
      <w:szCs w:val="42"/>
      <w:b w:val="1"/>
      <w:bCs w:val="1"/>
    </w:rPr>
  </w:style>
  <w:style w:type="paragraph" w:styleId="Heading3">
    <w:link w:val="Heading3Char"/>
    <w:name w:val="heading 3"/>
    <w:basedOn w:val="Normal"/>
    <w:pPr>
      <w:spacing w:after="80"/>
    </w:pPr>
    <w:rPr>
      <w:sz w:val="38"/>
      <w:szCs w:val="38"/>
      <w:b w:val="1"/>
      <w:bCs w:val="1"/>
    </w:rPr>
  </w:style>
  <w:style w:type="paragraph" w:styleId="Heading4">
    <w:link w:val="Heading4Char"/>
    <w:name w:val="heading 4"/>
    <w:basedOn w:val="Normal"/>
    <w:pPr>
      <w:spacing w:after="20"/>
    </w:pPr>
    <w:rPr>
      <w:sz w:val="34"/>
      <w:szCs w:val="34"/>
      <w:b w:val="1"/>
      <w:bCs w:val="1"/>
    </w:rPr>
  </w:style>
  <w:style w:type="paragraph" w:styleId="Heading5">
    <w:link w:val="Heading5Char"/>
    <w:name w:val="heading 5"/>
    <w:basedOn w:val="Normal"/>
    <w:pPr>
      <w:spacing w:after="10"/>
    </w:pPr>
    <w:rPr>
      <w:sz w:val="30"/>
      <w:szCs w:val="30"/>
      <w:b w:val="1"/>
      <w:bCs w:val="1"/>
    </w:rPr>
  </w:style>
  <w:style w:type="paragraph" w:styleId="Heading6">
    <w:link w:val="Heading6Char"/>
    <w:name w:val="heading 6"/>
    <w:basedOn w:val="Normal"/>
    <w:pPr>
      <w:spacing w:after="5"/>
    </w:pPr>
    <w:rPr>
      <w:sz w:val="26"/>
      <w:szCs w:val="2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image" Target="media/section_image1.jpg"/><Relationship Id="rId8" Type="http://schemas.openxmlformats.org/officeDocument/2006/relationships/image" Target="media/section_image2.jpg"/><Relationship Id="rId9" Type="http://schemas.openxmlformats.org/officeDocument/2006/relationships/header" Target="header1.xml"/></Relationships>
</file>

<file path=word/_rels/header1.xml.rels><?xml version="1.0" encoding="UTF-8" standalone="yes"?>
<Relationships xmlns="http://schemas.openxmlformats.org/package/2006/relationships"><Relationship Id="rId1" Type="http://schemas.openxmlformats.org/officeDocument/2006/relationships/image" Target="media/header1_image1.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2026-11-04T12:01:37+00:00</dcterms:created>
  <dcterms:modified xsi:type="dcterms:W3CDTF">2026-11-04T12:01:37+00:00</dcterms:modified>
</cp:coreProperties>
</file>

<file path=docProps/custom.xml><?xml version="1.0" encoding="utf-8"?>
<Properties xmlns="http://schemas.openxmlformats.org/officeDocument/2006/custom-properties" xmlns:vt="http://schemas.openxmlformats.org/officeDocument/2006/docPropsVTypes"/>
</file>