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Kanaga Dharmananda SC</w:t>
      </w:r>
      <w:bookmarkEnd w:id="1"/>
    </w:p>
    <w:tbl>
      <w:tblGrid>
        <w:gridCol w:w="1500" w:type="dxa"/>
        <w:gridCol w:w="4500" w:type="dxa"/>
      </w:tblGrid>
      <w:tr>
        <w:trPr/>
        <w:tc>
          <w:tcPr>
            <w:tcW w:w="1500" w:type="dxa"/>
          </w:tcPr>
          <w:p>
            <w:pPr/>
            <w:r>
              <w:rPr>
                <w:b w:val="1"/>
                <w:bCs w:val="1"/>
              </w:rPr>
              <w:t xml:space="preserve">Extra List information</w:t>
            </w:r>
          </w:p>
        </w:tc>
        <w:tc>
          <w:tcPr>
            <w:tcW w:w="4500" w:type="dxa"/>
          </w:tcPr>
          <w:p>
            <w:pPr/>
            <w:r>
              <w:rPr/>
              <w:t xml:space="preserve">Jurisdiction: Australia</w:t>
            </w:r>
          </w:p>
        </w:tc>
      </w:tr>
      <w:tr>
        <w:trPr/>
        <w:tc>
          <w:tcPr>
            <w:tcW w:w="1500" w:type="dxa"/>
          </w:tcPr>
          <w:p>
            <w:pPr/>
            <w:r>
              <w:rPr>
                <w:b w:val="1"/>
                <w:bCs w:val="1"/>
              </w:rPr>
              <w:t xml:space="preserve">Email</w:t>
            </w:r>
          </w:p>
        </w:tc>
        <w:tc>
          <w:tcPr>
            <w:tcW w:w="4500" w:type="dxa"/>
          </w:tcPr>
          <w:p>
            <w:pPr/>
            <w:r>
              <w:rPr/>
              <w:t xml:space="preserve">skd@fountaincourt.co.uk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Kanaga Dharmananda SC is Senior Counsel, a Member of Fountain Court, and practises in the South East Asian region, including Australia.</w:t>
      </w:r>
    </w:p>
    <w:p>
      <w:pPr/>
      <w:r>
        <w:rPr/>
        <w:t xml:space="preserve">He was previously counsel with the United Nations in Geneva, counsel with Mitsubishi Corporation, in Tokyo, and was with firms in Singapore (Rajah &amp; Tann) and Malaysia.</w:t>
      </w:r>
    </w:p>
    <w:p>
      <w:pPr/>
      <w:r>
        <w:rPr/>
        <w:t xml:space="preserve">He acts in arbitrations in and outside Australia, having advised on disputes (ICC, UNCITRAL, AAA, SIAC, HKIAC rules) arising in connection with projects in Australia, India, Malaysia, Sri Lanka, Vietnam, Thailand, Hong Kong, PRC, South Africa, and Ghana.</w:t>
      </w:r>
    </w:p>
    <w:p>
      <w:pPr/>
      <w:r>
        <w:rPr/>
        <w:t xml:space="preserve">Kanaga teaches at the UWA Law School where he teaches </w:t>
      </w:r>
      <w:r>
        <w:rPr>
          <w:i w:val="1"/>
          <w:iCs w:val="1"/>
        </w:rPr>
        <w:t xml:space="preserve">International Commercial Arbitration</w:t>
      </w:r>
      <w:r>
        <w:rPr/>
        <w:t xml:space="preserve"> and </w:t>
      </w:r>
      <w:r>
        <w:rPr>
          <w:i w:val="1"/>
          <w:iCs w:val="1"/>
        </w:rPr>
        <w:t xml:space="preserve">International Investment</w:t>
      </w:r>
      <w:r>
        <w:rPr/>
        <w:t xml:space="preserve">.</w:t>
      </w:r>
    </w:p>
    <w:p>
      <w:pPr/>
      <w:r>
        <w:rPr/>
        <w:t xml:space="preserve">He was educated at the University of Western Australia, and completed a BCL at Oxford, and a LLM at Harvard.</w:t>
      </w:r>
    </w:p>
    <w:p/>
    <w:p>
      <w:pPr>
        <w:pStyle w:val="Heading2"/>
      </w:pPr>
      <w:bookmarkStart w:id="3" w:name="_Toc3"/>
      <w:r>
        <w:t>Directory Quotes</w:t>
      </w:r>
      <w:bookmarkEnd w:id="3"/>
    </w:p>
    <w:p>
      <w:pPr/>
      <w:r>
        <w:rPr>
          <w:i w:val="1"/>
          <w:iCs w:val="1"/>
        </w:rPr>
        <w:t xml:space="preserve">"His impressively broad practice covers disputes arising in, among others, the construction, financial services and resources sectors and includes a noted international arbitration component."</w:t>
      </w:r>
    </w:p>
    <w:p>
      <w:pPr/>
      <w:r>
        <w:rPr/>
        <w:t xml:space="preserve">Chambers &amp; Partners, Asia Pacific</w:t>
      </w:r>
    </w:p>
    <w:p/>
    <w:p>
      <w:pPr/>
      <w:r>
        <w:rPr>
          <w:i w:val="1"/>
          <w:iCs w:val="1"/>
        </w:rPr>
        <w:t xml:space="preserve">"Kanaga Dharmananda SC continues to be identified as 'a clear leader in the commercial field in Perth', one interviewee testifying to his 'incisive analysis of every case he is in' and 'renowned trial advocacy', while another reports that 'he has a huge practice and is highly in demand'."</w:t>
      </w:r>
    </w:p>
    <w:p>
      <w:pPr/>
      <w:r>
        <w:rPr/>
        <w:t xml:space="preserve">Chambers &amp; Partners, Asia Pacific</w:t>
      </w:r>
    </w:p>
    <w:p/>
    <w:p/>
    <w:p>
      <w:pPr>
        <w:pStyle w:val="Heading2"/>
      </w:pPr>
      <w:bookmarkStart w:id="4" w:name="_Toc4"/>
      <w:r>
        <w:t>Directory Rankings</w:t>
      </w:r>
      <w:bookmarkEnd w:id="4"/>
    </w:p>
    <w:p>
      <w:pPr>
        <w:pStyle w:val="Heading5"/>
      </w:pPr>
      <w:r>
        <w:rPr/>
        <w:t xml:space="preserve">Chambers &amp; Partners – Asia Pacific</w:t>
      </w:r>
    </w:p>
    <w:p>
      <w:pPr>
        <w:numPr>
          <w:ilvl w:val="0"/>
          <w:numId w:val="7"/>
        </w:numPr>
      </w:pPr>
      <w:r>
        <w:rPr/>
        <w:t xml:space="preserve">Dispute Resolution: The Bar in Australia</w:t>
      </w:r>
    </w:p>
    <w:p>
      <w:pPr>
        <w:numPr>
          <w:ilvl w:val="0"/>
          <w:numId w:val="7"/>
        </w:numPr>
      </w:pPr>
      <w:r>
        <w:rPr/>
        <w:t xml:space="preserve">International Arbitration</w:t>
      </w:r>
    </w:p>
    <w:p/>
    <w:p>
      <w:pPr>
        <w:pStyle w:val="Heading2"/>
      </w:pPr>
      <w:bookmarkStart w:id="5" w:name="_Toc5"/>
      <w:r>
        <w:t>International Bar / Court Appointments</w:t>
      </w:r>
      <w:bookmarkEnd w:id="5"/>
    </w:p>
    <w:p>
      <w:pPr>
        <w:numPr>
          <w:ilvl w:val="0"/>
          <w:numId w:val="8"/>
        </w:numPr>
      </w:pPr>
      <w:r>
        <w:rPr/>
        <w:t xml:space="preserve">Called to the bar in Australia</w:t>
      </w:r>
    </w:p>
    <w:p/>
    <w:p>
      <w:pPr>
        <w:pStyle w:val="Heading2"/>
      </w:pPr>
      <w:bookmarkStart w:id="6" w:name="_Toc6"/>
      <w:r>
        <w:t>Publications</w:t>
      </w:r>
      <w:bookmarkEnd w:id="6"/>
    </w:p>
    <w:p>
      <w:pPr>
        <w:numPr>
          <w:ilvl w:val="0"/>
          <w:numId w:val="9"/>
        </w:numPr>
      </w:pPr>
      <w:r>
        <w:rPr>
          <w:i w:val="1"/>
          <w:iCs w:val="1"/>
        </w:rPr>
        <w:t xml:space="preserve">‘A Practical Guide to Investment Treaties—Asia Pacific’</w:t>
      </w:r>
      <w:r>
        <w:rPr/>
        <w:t xml:space="preserve">, Published by LexisNexis (2015)</w:t>
      </w:r>
    </w:p>
    <w:sectPr>
      <w:head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881B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49F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2E7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2026-10-21T10:56:42+00:00</dcterms:created>
  <dcterms:modified xsi:type="dcterms:W3CDTF">2026-10-21T10:56:42+00:00</dcterms:modified>
</cp:coreProperties>
</file>

<file path=docProps/custom.xml><?xml version="1.0" encoding="utf-8"?>
<Properties xmlns="http://schemas.openxmlformats.org/officeDocument/2006/custom-properties" xmlns:vt="http://schemas.openxmlformats.org/officeDocument/2006/docPropsVTypes"/>
</file>