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Jacob Turner</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2016</w:t>
            </w:r>
          </w:p>
        </w:tc>
      </w:tr>
      <w:tr>
        <w:trPr/>
        <w:tc>
          <w:tcPr>
            <w:tcW w:w="1500" w:type="dxa"/>
          </w:tcPr>
          <w:p>
            <w:pPr/>
            <w:r>
              <w:rPr>
                <w:b w:val="1"/>
                <w:bCs w:val="1"/>
              </w:rPr>
              <w:t xml:space="preserve">Email</w:t>
            </w:r>
          </w:p>
        </w:tc>
        <w:tc>
          <w:tcPr>
            <w:tcW w:w="4500" w:type="dxa"/>
          </w:tcPr>
          <w:p>
            <w:pPr/>
            <w:r>
              <w:rPr/>
              <w:t xml:space="preserve">jnt@fountaincourt.co.uk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Jacob Turner is ranked as a Leading Junior by the legal directories in eight areas: administrative law and human rights, AI, aviation, commercial litigation, data protection, IT, public international law, and sanctions.</w:t>
      </w:r>
    </w:p>
    <w:p>
      <w:pPr/>
      <w:r>
        <w:rPr/>
        <w:t xml:space="preserve">He is a former solicitor-advocate, having qualified in 2014. He has acted as sole counsel in the High Court, an LCIA Arbitration and the Court of Appeal and as junior counsel in the UK Supreme Court. Jacob has a particular interest in cases relating to technology, data and artificial intelligence. He is on the Attorney General’s B Panels of Counsel for both Civil and Public International Law, and has advised the UK Government on a variety of legal and policy issues relating to AI. Jacob is also frequently instructed in heavy commercial and sovereign matters. His clients include Venezuela, Libya, Argentina and India. Jacob is ranked as a Global Market Leader for AI by Chambers and Partners and was included in </w:t>
      </w:r>
      <w:r>
        <w:rPr>
          <w:i w:val="1"/>
          <w:iCs w:val="1"/>
        </w:rPr>
        <w:t xml:space="preserve">The Lawyer</w:t>
      </w:r>
      <w:r>
        <w:rPr/>
        <w:t xml:space="preserve">’s Hot 100 2025.</w:t>
      </w:r>
    </w:p>
    <w:p>
      <w:pPr/>
      <w:r>
        <w:rPr/>
        <w:t xml:space="preserve">Previously, Jacob worked in the Dispute Resolution department at Cleary Gottlieb Steen and Hamilton LLP and as a judicial assistant to Lord Mance at the UK Supreme Court. Jacob is the author of </w:t>
      </w:r>
      <w:r>
        <w:rPr>
          <w:i w:val="1"/>
          <w:iCs w:val="1"/>
        </w:rPr>
        <w:t xml:space="preserve">Robot Rules: Regulating Artificial Intelligence</w:t>
      </w:r>
      <w:r>
        <w:rPr/>
        <w:t xml:space="preserve"> (Palgrave Macmillan, 2018). He is a contributing author to </w:t>
      </w:r>
      <w:r>
        <w:rPr>
          <w:i w:val="1"/>
          <w:iCs w:val="1"/>
        </w:rPr>
        <w:t xml:space="preserve">The Law of Artificial Intelligence</w:t>
      </w:r>
      <w:r>
        <w:rPr/>
        <w:t xml:space="preserve"> (Sweet &amp; Maxwell, 2024). Jacob is also the co-author, with Lord Mance, of </w:t>
      </w:r>
      <w:r>
        <w:rPr>
          <w:i w:val="1"/>
          <w:iCs w:val="1"/>
        </w:rPr>
        <w:t xml:space="preserve">Privy Council Practice</w:t>
      </w:r>
      <w:r>
        <w:rPr/>
        <w:t xml:space="preserve"> (OUP, 2017).</w:t>
      </w:r>
    </w:p>
    <w:p/>
    <w:p>
      <w:pPr>
        <w:pStyle w:val="Heading2"/>
      </w:pPr>
      <w:bookmarkStart w:id="3" w:name="_Toc3"/>
      <w:r>
        <w:t>Recent Highlights</w:t>
      </w:r>
      <w:bookmarkEnd w:id="3"/>
    </w:p>
    <w:p>
      <w:pPr/>
      <w:r>
        <w:rPr>
          <w:b w:val="1"/>
          <w:bCs w:val="1"/>
        </w:rPr>
        <w:t xml:space="preserve">Mehul Choksi v Government of India [2026] EWHC 217 (KB)</w:t>
      </w:r>
    </w:p>
    <w:p>
      <w:pPr/>
      <w:r>
        <w:rPr/>
        <w:t xml:space="preserve">Acting for the Government of India (led by Harish Salve KC) in a claim brought by a fugitive businessman accused by Indian authorities of serious economic crimes. The Claimant, Mr Choksi, alleges that India orchestrated his kidnapping in Antigua and his rendition by yacht to Dominica, with a view to extraditing him. Mr Choksi contends that the UK courts have jurisdiction and argues that the alleged kidnapping was planned by India in the UK. India claims state immunity from proceedings for reasons which include that it was not involved in the alleged plot.</w:t>
      </w:r>
    </w:p>
    <w:p/>
    <w:p>
      <w:pPr/>
      <w:r>
        <w:rPr>
          <w:b w:val="1"/>
          <w:bCs w:val="1"/>
        </w:rPr>
        <w:t xml:space="preserve">Abramovich v Government of Jersey, Chief of the Jersey Police</w:t>
      </w:r>
    </w:p>
    <w:p>
      <w:pPr/>
      <w:r>
        <w:rPr/>
        <w:t xml:space="preserve">Acting for Mr Roman Abramovich (led by Lord Goldsmith KC and Howard Sharp KC) in data subject access proceedings arising from the ongoing criminal investigation into Mr Abramovich by Jersey authorities for alleged money laundering and sanctions breach offences. Jacob is also acting for Mr Abramovich in a separate dispute relating to the proceeds of Chelsea Football Club.</w:t>
      </w:r>
    </w:p>
    <w:p/>
    <w:p>
      <w:pPr/>
      <w:r>
        <w:rPr>
          <w:b w:val="1"/>
          <w:bCs w:val="1"/>
        </w:rPr>
        <w:t xml:space="preserve">Petersen Energía Inversora, S.A.U. and ors v The Argentine Republic [2026] EWHC 344 (Comm)</w:t>
      </w:r>
    </w:p>
    <w:p>
      <w:pPr/>
      <w:r>
        <w:rPr/>
        <w:t xml:space="preserve">Acting for the Argentine Republic (led by David Railton KC and Rajesh Pillai KC). The case concerns a US$16bn judgment of a New York court, since reversed by the US Court of Appeals, relating to the alleged failure by the Republic to make a tender offer to shareholders in respect of an oil company that was re-nationalised in 2012. The claimants sought recognition and enforcement of the New York judgment in the English court.</w:t>
      </w:r>
    </w:p>
    <w:p/>
    <w:p>
      <w:pPr/>
      <w:r>
        <w:rPr>
          <w:b w:val="1"/>
          <w:bCs w:val="1"/>
        </w:rPr>
        <w:t xml:space="preserve">Virgo and Nixie Marine v Reed Smith LLP  [2025] Costs L.R. 1345 </w:t>
      </w:r>
    </w:p>
    <w:p>
      <w:pPr/>
      <w:r>
        <w:rPr/>
        <w:t xml:space="preserve">Jacob represents Virgo, a company designated by the US under the Iran sanctions regime, and its affiliate Nixie. The claim arose from a transaction to purchase an oil tanker, which the claimants say failed owing to the negligent actions of the escrow agent Reed Smith in wrongly directing its bank that the purchase funds should be frozen. Reed Smith has joined its bank, Barclays, as a third party defendant. In 2025, as sole counsel, Jacob successfully opposed a claim by Reed Smith for over £6m in security for costs. One of The Lawyer’s Top 20 cases of 2026.</w:t>
      </w:r>
    </w:p>
    <w:p/>
    <w:p>
      <w:pPr/>
      <w:r>
        <w:rPr>
          <w:b w:val="1"/>
          <w:bCs w:val="1"/>
        </w:rPr>
        <w:t xml:space="preserve">Thaler v Comptroller-General of Patents, Designs and Trademarks  [2024] 2 All E.R. 527</w:t>
      </w:r>
    </w:p>
    <w:p>
      <w:pPr/>
      <w:r>
        <w:rPr/>
        <w:t xml:space="preserve">Acting for Dr Thaler (with Prof. Ryan Abbott and Robert Jehan) in an appeal heard by the UK Supreme Court on the question of whether it is possible to register a patent in circumstances where the invention in question has been devised by an AI system and therefore no human inventor can be named on the relevant application form. This appeal was the first time that a Supreme Court in any jurisdiction considered the legal issues arising from AI.</w:t>
      </w:r>
    </w:p>
    <w:p/>
    <w:p>
      <w:pPr>
        <w:pStyle w:val="Heading2"/>
      </w:pPr>
      <w:bookmarkStart w:id="4" w:name="_Toc4"/>
      <w:r>
        <w:t>Expertise</w:t>
      </w:r>
      <w:bookmarkEnd w:id="4"/>
    </w:p>
    <w:p/>
    <w:p>
      <w:pPr>
        <w:pStyle w:val="Heading3"/>
      </w:pPr>
      <w:bookmarkStart w:id="5" w:name="_Toc5"/>
      <w:r>
        <w:t>AI, Crypto &amp; Technology</w:t>
      </w:r>
      <w:bookmarkEnd w:id="5"/>
    </w:p>
    <w:p/>
    <w:p>
      <w:bookmarkStart w:id="6" w:name="_Toc6"/>
      <w:r>
        <w:t>Reported cases</w:t>
      </w:r>
      <w:bookmarkEnd w:id="6"/>
    </w:p>
    <w:p>
      <w:pPr/>
      <w:r>
        <w:rPr>
          <w:b w:val="1"/>
          <w:bCs w:val="1"/>
        </w:rPr>
        <w:t xml:space="preserve">Abramovich v Government of Jersey, Chief of the Jersey Police</w:t>
      </w:r>
    </w:p>
    <w:p>
      <w:pPr/>
      <w:r>
        <w:rPr/>
        <w:t xml:space="preserve">Acting for Mr Roman Abramovich (led by Lord Goldsmith KC and Howard Sharp KC) in data subject access proceedings arising from the ongoing criminal investigation into Mr Abramovich by Jersey authorities for alleged money laundering and sanctions breach offences. Jacob is also acting for Mr Abramovich in a separate dispute relating to the proceeds of Chelsea Football Club.</w:t>
      </w:r>
    </w:p>
    <w:p/>
    <w:p>
      <w:pPr/>
      <w:r>
        <w:rPr>
          <w:b w:val="1"/>
          <w:bCs w:val="1"/>
        </w:rPr>
        <w:t xml:space="preserve">Michael Ashley v HMRC [2026] EWHC 725 (KB) </w:t>
      </w:r>
    </w:p>
    <w:p>
      <w:pPr/>
      <w:r>
        <w:rPr/>
        <w:t xml:space="preserve">Acting for Mr Ashley (led by Richard Lissack KC) in data protection proceedings against HMRC arising from an abandoned investigation by HMRC into Mr Ashley’s tax affairs and the sale of properties to Sports Direct. A 2025 judgment in these proceedings is one of the leading cases on the ambit of data subject access requests.</w:t>
      </w:r>
    </w:p>
    <w:p/>
    <w:p>
      <w:pPr>
        <w:pStyle w:val="Heading4"/>
      </w:pPr>
      <w:bookmarkStart w:id="7" w:name="_Toc7"/>
      <w:r>
        <w:t>Notable cases</w:t>
      </w:r>
      <w:bookmarkEnd w:id="7"/>
    </w:p>
    <w:p>
      <w:pPr/>
      <w:r>
        <w:rPr/>
        <w:t xml:space="preserve">Acting for the first AI company to be investigated by the UK information Commissioner’s Office for alleged algorithmic bias (2022-2023). The investigation resulted in a ‘no enforcement’ and ‘no publication’ decision by the regulator.</w:t>
      </w:r>
    </w:p>
    <w:p/>
    <w:p>
      <w:pPr/>
      <w:r>
        <w:rPr/>
        <w:t xml:space="preserve">Acting for a technology company, which is threatened with legal action by a major Gig Economy platform, for alleged misuse of that platform’s confidential information. The case raises important issues around the interaction of data protection law, restraint of trade and competition law.</w:t>
      </w:r>
    </w:p>
    <w:p/>
    <w:p>
      <w:pPr/>
      <w:r>
        <w:rPr>
          <w:b w:val="1"/>
          <w:bCs w:val="1"/>
        </w:rPr>
        <w:t xml:space="preserve">Thaler v Comptroller-General of Patents, Designs and Trademarks [2023] UKSC 49</w:t>
      </w:r>
    </w:p>
    <w:p>
      <w:pPr/>
      <w:r>
        <w:rPr/>
        <w:t xml:space="preserve">Acting as counsel for Dr Thaler (with Prof. Ryan Abbott and Robert Jehan) in an appeal heard by the UK Supreme Court on the question of whether it is possible to register a patent in circumstances where the invention in question has been devised by an AI system and therefore no human inventor can be named on the relevant application form. This appeal was the first time that a Supreme Court in any jurisdiction has considered the legal issues arising from AI. The case received wide press coverage in the UK and internationally.</w:t>
      </w:r>
    </w:p>
    <w:p/>
    <w:p>
      <w:pPr/>
      <w:r>
        <w:rPr>
          <w:b w:val="1"/>
          <w:bCs w:val="1"/>
        </w:rPr>
        <w:t xml:space="preserve">Allianz Global Investors GmbH and ors v Deutsche Bank AG London and ors Claim No. CL-2020-000737</w:t>
      </w:r>
    </w:p>
    <w:p>
      <w:pPr/>
      <w:r>
        <w:rPr/>
        <w:t xml:space="preserve">Instructed jointly by nine defendant banks in a multi-billion dollar follow-on damages claim by various claimants arising from European Commission findings in respect of manipulation of the foreign exchange market by a cartel, over the period 2003-2013. This appears to have been the first litigation in the world where the claimant parties sought to plead and prove their claim using AI in order to generate instances of alleged infringement. The claim raised novel issues of practice and procedure with respect to the use of AI in the litigation process.</w:t>
      </w:r>
    </w:p>
    <w:p/>
    <w:p>
      <w:pPr/>
      <w:r>
        <w:rPr/>
        <w:t xml:space="preserve">Advising one of the world’s leading car manufacturers on its global AI ethics policy.</w:t>
      </w:r>
    </w:p>
    <w:p/>
    <w:p>
      <w:pPr/>
      <w:r>
        <w:rPr/>
        <w:t xml:space="preserve">Drafting the first ‘AI Explainability Statement’ – a public documents which sets out how an organisation designed and uses AI systems – to be approved by the UK Information Commissioner’s Office.</w:t>
      </w:r>
    </w:p>
    <w:p/>
    <w:p>
      <w:pPr/>
      <w:r>
        <w:rPr/>
        <w:t xml:space="preserve">Advising an individual on the legal and regulatory consequences of employing a trading algorithm</w:t>
      </w:r>
    </w:p>
    <w:p/>
    <w:p>
      <w:pPr/>
      <w:r>
        <w:rPr/>
        <w:t xml:space="preserve">Advising INTERPOL and the United Nations Interregional Crime and Justice Research Institute on global AI ethics guidance for policing and justice systems.</w:t>
      </w:r>
    </w:p>
    <w:p/>
    <w:p>
      <w:pPr/>
      <w:r>
        <w:rPr/>
        <w:t xml:space="preserve">Advising an organisation on the copyright consequences of a proposed AI system.</w:t>
      </w:r>
    </w:p>
    <w:p/>
    <w:p>
      <w:pPr/>
      <w:r>
        <w:rPr/>
        <w:t xml:space="preserve">Advising a Middle Eastern country on drafting AI regulations</w:t>
      </w:r>
    </w:p>
    <w:p/>
    <w:p>
      <w:pPr/>
      <w:r>
        <w:rPr/>
        <w:t xml:space="preserve">Providing training to the judiciary of two countries on novel legal challenges arising from AI.</w:t>
      </w:r>
    </w:p>
    <w:p/>
    <w:p>
      <w:pPr/>
      <w:r>
        <w:rPr/>
        <w:t xml:space="preserve">Advising several UK organisations on potential legal liability arising from their use of AI, including with regards to requirements under the GDPR.</w:t>
      </w:r>
    </w:p>
    <w:p/>
    <w:p>
      <w:pPr/>
      <w:r>
        <w:rPr/>
        <w:t xml:space="preserve">Advising part of the UK Government on the governance of AI and duties for public servants.</w:t>
      </w:r>
    </w:p>
    <w:p/>
    <w:p>
      <w:pPr/>
      <w:r>
        <w:rPr/>
        <w:t xml:space="preserve">Advising one of the world’s largest asset managers and a major venture capital firm on their data and AI policies.</w:t>
      </w:r>
    </w:p>
    <w:p/>
    <w:p>
      <w:pPr/>
      <w:r>
        <w:rPr/>
        <w:t xml:space="preserve">Jacob also lectures on AI at universities and other institutions, including Oxford, Cambridge, NYU, the Max Planck Institute in Hamburg. Jacob teaches a twice-yearly course on the Regulation of AI at Singapore Management University, and has delivered seminars to the Chinese Government and Military at the invitation of the UN.</w:t>
      </w:r>
    </w:p>
    <w:p/>
    <w:p>
      <w:pPr/>
      <w:r>
        <w:rPr/>
        <w:t xml:space="preserve">Jacob’s work is regularly cited by regulators in public studies, including by the UK Government in its 2020 report on the impact of AI on the duties of public servants, and by the Law Society in its 2019 study of Algorithms in the Justice System.</w:t>
      </w:r>
    </w:p>
    <w:p/>
    <w:p>
      <w:pPr>
        <w:pStyle w:val="Heading3"/>
      </w:pPr>
      <w:bookmarkStart w:id="8" w:name="_Toc8"/>
      <w:r>
        <w:t>Aviation &amp; Travel</w:t>
      </w:r>
      <w:bookmarkEnd w:id="8"/>
    </w:p>
    <w:p/>
    <w:p>
      <w:pPr>
        <w:pStyle w:val="Heading4"/>
      </w:pPr>
      <w:bookmarkStart w:id="9" w:name="_Toc9"/>
      <w:r>
        <w:t>Notable cases</w:t>
      </w:r>
      <w:bookmarkEnd w:id="9"/>
    </w:p>
    <w:p>
      <w:pPr/>
      <w:r>
        <w:rPr>
          <w:b w:val="1"/>
          <w:bCs w:val="1"/>
        </w:rPr>
        <w:t xml:space="preserve">FW Aviation Holdings 1 Limited v VietJet Aviation JSC</w:t>
      </w:r>
    </w:p>
    <w:p>
      <w:pPr/>
      <w:r>
        <w:rPr/>
        <w:t xml:space="preserve">Acting for the claimant (led by Akhil Shah KC) in a claim for in excess of US$200 million relating to a lessee’s failure to pay rent for aircraft. The defendant is a well-known Vietnamese low cost airline. The case involves complex multi-jurisdictional issues, including novel ones in the English Courts as to the requirements for interim relief to be granted under the Cape Town Convention. </w:t>
      </w:r>
    </w:p>
    <w:p/>
    <w:p>
      <w:pPr/>
      <w:r>
        <w:rPr>
          <w:b w:val="1"/>
          <w:bCs w:val="1"/>
        </w:rPr>
        <w:t xml:space="preserve">GTLK Europe DAC and GTLK Europe Capital DAC (in Liquidation)</w:t>
      </w:r>
    </w:p>
    <w:p>
      <w:pPr/>
      <w:r>
        <w:rPr/>
        <w:t xml:space="preserve">Acting for the liquidators of the GTLK Europe companies (led by Akhil Shah KC), which form part of a major shipping and aviation leasing company, ultimately owned by the Russian State. The mandate involves issues arising from the termination of various leasing agreements as well as from the imposition of international sanctions to the GTLK Group’s parent company. </w:t>
      </w:r>
    </w:p>
    <w:p/>
    <w:p>
      <w:pPr/>
      <w:r>
        <w:rPr>
          <w:b w:val="1"/>
          <w:bCs w:val="1"/>
        </w:rPr>
        <w:t xml:space="preserve">Chelluri v Air India [2021] EWCA Civ 1953</w:t>
      </w:r>
    </w:p>
    <w:p>
      <w:pPr/>
      <w:r>
        <w:rPr/>
        <w:t xml:space="preserve">Acting successfully as sole counsel for the defendant airline in the Court of Appeal (Vos MR, Coulson LJ and Stuart-Smith LJ), in a case concerning the jurisdictional ambit of Regulation 261/2004 (the ‘Denied Boarding’ Regulation). The case raised important issues including the proper approach to interpreting retained EU law following Brexit, and the circumstances in which UK appellate courts should depart from EU jurisprudence.</w:t>
      </w:r>
    </w:p>
    <w:p/>
    <w:p>
      <w:pPr/>
      <w:r>
        <w:rPr/>
        <w:t xml:space="preserve">Jacob is regularly instructed by airlines in County Court proceedings arising under Regulation (EC) 261/2004 and the Montreal Convention.</w:t>
      </w:r>
    </w:p>
    <w:p/>
    <w:p>
      <w:pPr/>
      <w:r>
        <w:rPr/>
        <w:t xml:space="preserve">Advising an aircraft manufacturer on potential liability arising from a fatal helicopter crash.</w:t>
      </w:r>
    </w:p>
    <w:p/>
    <w:p>
      <w:pPr/>
      <w:r>
        <w:rPr/>
        <w:t xml:space="preserve">Assisting in an insurance dispute concerning a major and high-profile air disaster (as a pupil).</w:t>
      </w:r>
    </w:p>
    <w:p/>
    <w:p>
      <w:pPr>
        <w:pStyle w:val="Heading3"/>
      </w:pPr>
      <w:bookmarkStart w:id="10" w:name="_Toc10"/>
      <w:r>
        <w:t>Banking &amp; Finance</w:t>
      </w:r>
      <w:bookmarkEnd w:id="10"/>
    </w:p>
    <w:p/>
    <w:p>
      <w:pPr>
        <w:pStyle w:val="Heading4"/>
      </w:pPr>
      <w:bookmarkStart w:id="11" w:name="_Toc11"/>
      <w:r>
        <w:t>Notable cases</w:t>
      </w:r>
      <w:bookmarkEnd w:id="11"/>
    </w:p>
    <w:p>
      <w:pPr/>
      <w:r>
        <w:rPr>
          <w:b w:val="1"/>
          <w:bCs w:val="1"/>
        </w:rPr>
        <w:t xml:space="preserve">Santander UK Plc v The Financial Ombudsman Service Limited</w:t>
      </w:r>
    </w:p>
    <w:p>
      <w:pPr/>
      <w:r>
        <w:rPr/>
        <w:t xml:space="preserve">Acting (led by Adam Zellick KC) for Santander UK Plc in a judicial review of a decision by the FOS not to apply its six-year limitation limit when determining the fairness of mortgage interest rate setting decisions concerning the bank’s Standard Variable Rate. The proceedings raise issues of major importance to the mortgage and banking industries, as well as to the wider public.</w:t>
      </w:r>
    </w:p>
    <w:p/>
    <w:p>
      <w:pPr/>
      <w:r>
        <w:rPr>
          <w:b w:val="1"/>
          <w:bCs w:val="1"/>
        </w:rPr>
        <w:t xml:space="preserve">Barlow v Barclays Bank UK plc</w:t>
      </w:r>
    </w:p>
    <w:p>
      <w:pPr/>
      <w:r>
        <w:rPr/>
        <w:t xml:space="preserve">Acting for the defendant Barclays Bank UK plc. The claim related to a cheque issued in favour of the by the bank following the claimant’s representation that he was entitled to a payment in respect of historic payment protection insurance. The bank cancelled the cheque before it had been cashed. The Claimant alleges that the bank should have honoured the cheque. The bank’s position was that the Claimant misrepresented his entitlement to a payment, and this misrepresentation entitled the bank to cancel the cheque. The case settled before trial.</w:t>
      </w:r>
    </w:p>
    <w:p/>
    <w:p>
      <w:pPr/>
      <w:r>
        <w:rPr>
          <w:b w:val="1"/>
          <w:bCs w:val="1"/>
        </w:rPr>
        <w:t xml:space="preserve">RBS GRG Redress Scheme</w:t>
      </w:r>
    </w:p>
    <w:p>
      <w:pPr/>
      <w:r>
        <w:rPr/>
        <w:t xml:space="preserve">Acting for a SME business which was subject to unfair historic decisions made by the Royal Bank of Scotland Global Restructuring Group. Made a partially successful challenge to the Independent Third Party Sir William Blackburne concerning the bank’s assessment of consequential losses.</w:t>
      </w:r>
    </w:p>
    <w:p/>
    <w:p>
      <w:pPr/>
      <w:r>
        <w:rPr/>
        <w:t xml:space="preserve">Jacob is regularly instructed by banks in cases arising under the Consumer Credit Act 1974.</w:t>
      </w:r>
    </w:p>
    <w:p/>
    <w:p>
      <w:pPr>
        <w:pStyle w:val="Heading3"/>
      </w:pPr>
      <w:bookmarkStart w:id="12" w:name="_Toc12"/>
      <w:r>
        <w:t>Commercial Crime</w:t>
      </w:r>
      <w:bookmarkEnd w:id="12"/>
    </w:p>
    <w:p/>
    <w:p>
      <w:pPr>
        <w:pStyle w:val="Heading4"/>
      </w:pPr>
      <w:bookmarkStart w:id="13" w:name="_Toc13"/>
      <w:r>
        <w:t>Notable cases</w:t>
      </w:r>
      <w:bookmarkEnd w:id="13"/>
    </w:p>
    <w:p>
      <w:pPr/>
      <w:r>
        <w:rPr/>
        <w:t xml:space="preserve">Counsel to the Dame Linda Dobbs Review, considering whether issues relating to HBOS Reading were investigated and appropriately reported to authorities following Lloyd Banking Group’s acquisition of HBOS.</w:t>
      </w:r>
    </w:p>
    <w:p/>
    <w:p>
      <w:pPr/>
      <w:r>
        <w:rPr/>
        <w:t xml:space="preserve">Advising a bank in relation to its reporting obligations under POCA.</w:t>
      </w:r>
    </w:p>
    <w:p/>
    <w:p>
      <w:pPr>
        <w:pStyle w:val="Heading3"/>
      </w:pPr>
      <w:bookmarkStart w:id="14" w:name="_Toc14"/>
      <w:r>
        <w:t>Commercial Disputes</w:t>
      </w:r>
      <w:bookmarkEnd w:id="14"/>
    </w:p>
    <w:p/>
    <w:p>
      <w:pPr>
        <w:pStyle w:val="Heading4"/>
      </w:pPr>
      <w:bookmarkStart w:id="15" w:name="_Toc15"/>
      <w:r>
        <w:t>Notable cases</w:t>
      </w:r>
      <w:bookmarkEnd w:id="15"/>
    </w:p>
    <w:p>
      <w:pPr/>
      <w:r>
        <w:rPr>
          <w:b w:val="1"/>
          <w:bCs w:val="1"/>
        </w:rPr>
        <w:t xml:space="preserve">BTI 2014 LLC v PriceWaterhouseCoopers LLP </w:t>
      </w:r>
    </w:p>
    <w:p>
      <w:pPr/>
      <w:r>
        <w:rPr/>
        <w:t xml:space="preserve">Acting for BTI, a subsidiary of British American Tobacco Plc, (led by Simon Birt KC, James Sheehan KC and Ciaran Keller) in a several hundred million dollar auditors’ negligence claim relating to dividends paid by a non-operating company to its parent, which resulted in the non-operating company being unable to satisfy very large liabilities for historic environmental damage. Aspects of the case have already been heard by the Court of Appeal: [2021] EWCA Civ 9, and a related claim arising from the same events was heard by the Supreme Court. Listed for a 10-week trial in June 2024, which settled after one week. One of </w:t>
      </w:r>
      <w:r>
        <w:rPr>
          <w:i w:val="1"/>
          <w:iCs w:val="1"/>
        </w:rPr>
        <w:t xml:space="preserve">The Lawyer’s</w:t>
      </w:r>
      <w:r>
        <w:rPr/>
        <w:t xml:space="preserve"> Top 20 cases of 2024.</w:t>
      </w:r>
    </w:p>
    <w:p/>
    <w:p>
      <w:pPr/>
      <w:r>
        <w:rPr>
          <w:b w:val="1"/>
          <w:bCs w:val="1"/>
        </w:rPr>
        <w:t xml:space="preserve">Allianz Global Investors GmbH and ors v Deutsche Bank AG London and ors Claim No. CL-2020-000737</w:t>
      </w:r>
    </w:p>
    <w:p>
      <w:pPr/>
      <w:r>
        <w:rPr/>
        <w:t xml:space="preserve">Instructed jointly by nine defendant banks in a multi-billion dollar follow-on damages claim by various claimants arising from European Commission findings in respect of manipulation of the foreign exchange market by a cartel, over the period 2003-2013. This appears to have been the first litigation in the world where the claimant parties sought to plead and prove their claim using AI in order to generate instances of alleged infringement. The claim raised novel issues of practice and procedure with respect to the use of AI in the litigation process.</w:t>
      </w:r>
    </w:p>
    <w:p/>
    <w:p>
      <w:pPr/>
      <w:r>
        <w:rPr>
          <w:b w:val="1"/>
          <w:bCs w:val="1"/>
        </w:rPr>
        <w:t xml:space="preserve">Palmali SA v Litasco SA</w:t>
      </w:r>
    </w:p>
    <w:p>
      <w:pPr/>
      <w:r>
        <w:rPr/>
        <w:t xml:space="preserve">Acting for the defendant, Litasco SA (led by Thomas Munby KC and Tom Bird) in a claim relating to an alleged contract regarding the shipping of oil products. The claim was originally for approximately $2 billion but reduced substantially in a strike out application ([2020] EWHC 2581 (Comm)).</w:t>
      </w:r>
    </w:p>
    <w:p/>
    <w:p>
      <w:pPr/>
      <w:r>
        <w:rPr>
          <w:b w:val="1"/>
          <w:bCs w:val="1"/>
        </w:rPr>
        <w:t xml:space="preserve">Josiya &amp; 7,262 Others v British American Tobacco Plc &amp; Others [2021] EWHC 1743 (QB)</w:t>
      </w:r>
    </w:p>
    <w:p>
      <w:pPr/>
      <w:r>
        <w:rPr/>
        <w:t xml:space="preserve">Acting for the first defendant group in a business and human rights claim brought by Malawian tobacco farmers who allege negligence, conversion and unjust enrichment against two tobacco groups (led by Charles Gibson KC and Alex Barden).</w:t>
      </w:r>
    </w:p>
    <w:p/>
    <w:p>
      <w:pPr/>
      <w:r>
        <w:rPr>
          <w:b w:val="1"/>
          <w:bCs w:val="1"/>
        </w:rPr>
        <w:t xml:space="preserve">The Khan Partnership &amp; Anor v Al Rawas &amp; Anor</w:t>
      </w:r>
    </w:p>
    <w:p>
      <w:pPr/>
      <w:r>
        <w:rPr/>
        <w:t xml:space="preserve">Acting for a judgment creditor seeking to enforce a judgment debt through proceedings including CPR Part 71 (debtors’ examination) mechanism.</w:t>
      </w:r>
    </w:p>
    <w:p/>
    <w:p>
      <w:pPr/>
      <w:r>
        <w:rPr>
          <w:b w:val="1"/>
          <w:bCs w:val="1"/>
        </w:rPr>
        <w:t xml:space="preserve">General Asset Management Ltd v Leatherbarrow</w:t>
      </w:r>
    </w:p>
    <w:p>
      <w:pPr/>
      <w:r>
        <w:rPr/>
        <w:t xml:space="preserve">Acting for the defendant in a claim for possession made by a lender following a fraudulent disposition concerning the defendant’s property. Claim dismissed, and indemnity costs awarded to the defendant.</w:t>
      </w:r>
    </w:p>
    <w:p/>
    <w:p>
      <w:pPr/>
      <w:r>
        <w:rPr>
          <w:b w:val="1"/>
          <w:bCs w:val="1"/>
        </w:rPr>
        <w:t xml:space="preserve">Kadie Kalma &amp; Ors v African Minerals Ltd &amp; Ors</w:t>
      </w:r>
    </w:p>
    <w:p>
      <w:pPr/>
      <w:r>
        <w:rPr/>
        <w:t xml:space="preserve">Acting for a mining company in UK litigation in relation to a human rights claim arising from events in Sierra Leone (as a solicitor-advocate). Claim dismissed following a trial.</w:t>
      </w:r>
    </w:p>
    <w:p/>
    <w:p>
      <w:pPr/>
      <w:r>
        <w:rPr>
          <w:b w:val="1"/>
          <w:bCs w:val="1"/>
        </w:rPr>
        <w:t xml:space="preserve">Kazakhstan Kagazy &amp; Ors v Zhunus &amp; Ors</w:t>
      </w:r>
    </w:p>
    <w:p>
      <w:pPr/>
      <w:r>
        <w:rPr/>
        <w:t xml:space="preserve">Acting for a high net worth individual in a long-running $300 million commercial fraud claim in the UK Courts, concerning land, paper-processing and logistics sites in Kazakhstan (as a solicitor-advocate).</w:t>
      </w:r>
    </w:p>
    <w:p/>
    <w:p>
      <w:pPr>
        <w:pStyle w:val="Heading3"/>
      </w:pPr>
      <w:bookmarkStart w:id="16" w:name="_Toc16"/>
      <w:r>
        <w:t>Commercial Disputes - Public International Law</w:t>
      </w:r>
      <w:bookmarkEnd w:id="16"/>
    </w:p>
    <w:p/>
    <w:p>
      <w:pPr>
        <w:pStyle w:val="Heading4"/>
      </w:pPr>
      <w:bookmarkStart w:id="17" w:name="_Toc17"/>
      <w:r>
        <w:t>Notable cases</w:t>
      </w:r>
      <w:bookmarkEnd w:id="17"/>
    </w:p>
    <w:p>
      <w:pPr/>
      <w:r>
        <w:rPr>
          <w:b w:val="1"/>
          <w:bCs w:val="1"/>
        </w:rPr>
        <w:t xml:space="preserve">Mehul Choksi v Government of India &amp; Ors</w:t>
      </w:r>
    </w:p>
    <w:p>
      <w:pPr/>
      <w:r>
        <w:rPr/>
        <w:t xml:space="preserve">Acting for India in a claim for false imprisonment and personal injury, arising from the alleged abduction in the Caribbean of a prominent Indian businessman, who is charged with a $2bn fraud against several banks in India. Mr Choksi alleges that India planned and orchestrated his rendition from Antigua to Dominica, with a view to extraditing him</w:t>
      </w:r>
    </w:p>
    <w:p/>
    <w:p>
      <w:pPr/>
      <w:r>
        <w:rPr>
          <w:b w:val="1"/>
          <w:bCs w:val="1"/>
        </w:rPr>
        <w:t xml:space="preserve">General Dynamics v The State of Libya</w:t>
      </w:r>
    </w:p>
    <w:p>
      <w:pPr/>
      <w:r>
        <w:rPr/>
        <w:t xml:space="preserve">Acting for the State of Libya (led by Richard Lissack KC) in an appeal relating to the enforcement of an arbitral award against a property in London. The case raises important questions on as to the extent to which generalised language in a contractual document can be deemed to waive a State’s immunity from execution. Due to be heard by the Court of Appeal in November 2024.</w:t>
      </w:r>
    </w:p>
    <w:p/>
    <w:p>
      <w:pPr/>
      <w:r>
        <w:rPr>
          <w:b w:val="1"/>
          <w:bCs w:val="1"/>
        </w:rPr>
        <w:t xml:space="preserve">Petersen Energía Inversora, S.A.U. and ors v The Argentine Republic</w:t>
      </w:r>
    </w:p>
    <w:p>
      <w:pPr/>
      <w:r>
        <w:rPr/>
        <w:t xml:space="preserve">Acting for the Argentine Republic. The case concerns a US$16bn judgment of a New York court relating to the alleged failure by the Republic to make a tender offer to shareholders in respect of an oil company that was re-nationalised in 2012. The claimants have sought recognition and enforcement of that judgment in the English court.</w:t>
      </w:r>
    </w:p>
    <w:p/>
    <w:p>
      <w:pPr/>
      <w:r>
        <w:rPr>
          <w:b w:val="1"/>
          <w:bCs w:val="1"/>
        </w:rPr>
        <w:t xml:space="preserve">AS PNB Banka and others v. Republic of Latvia, ICSID Case No. ARB/17/47 </w:t>
      </w:r>
    </w:p>
    <w:p>
      <w:pPr/>
      <w:r>
        <w:rPr/>
        <w:t xml:space="preserve">Acting for the shareholder claimants in the merits hearing of a Bilateral Investment Treaty arbitration concerning alleged corruption at the highest levels of Latvian banking regulation.</w:t>
      </w:r>
    </w:p>
    <w:p/>
    <w:p>
      <w:pPr/>
      <w:r>
        <w:rPr>
          <w:b w:val="1"/>
          <w:bCs w:val="1"/>
        </w:rPr>
        <w:t xml:space="preserve">Angophora v Ovsyankin [2021] EWHC 3376 (Comm)</w:t>
      </w:r>
    </w:p>
    <w:p>
      <w:pPr/>
      <w:r>
        <w:rPr/>
        <w:t xml:space="preserve">Acting for the claimant, a joint venture between Intesa Sanpaolo and Gazprombank, in a high-value commercial fraud dispute concerning the oil and gas industry, led by Michael Swainston KC and James Duffy. Secured award of over $40 million in favour of the claimant. Jacob’s client then successfully resisted subsequent s.24 and s.68 Arbitration Act 1996 challenges brought against the award in the High Court.</w:t>
      </w:r>
    </w:p>
    <w:p/>
    <w:p>
      <w:pPr/>
      <w:r>
        <w:rPr>
          <w:b w:val="1"/>
          <w:bCs w:val="1"/>
        </w:rPr>
        <w:t xml:space="preserve">Maduro Board of the Central Bank of Venezuela v Guaidó Board" of the Central Bank of Venezuela </w:t>
      </w:r>
    </w:p>
    <w:p>
      <w:pPr/>
      <w:r>
        <w:rPr/>
        <w:t xml:space="preserve">Acting for the ‘Maduro Board’ of the Central Bank of Venezuela in litigation concerning the proper representatives of the Government of Venezuela and the entitlement to give directions as to nearly US$1 billion of Venezuela’s international reserves, held in the Bank of England’s vaults, and approximately US$120 million held by court-appointed receivers on behalf of the Central Bank of Venezuela, following a payment from Deutsche Bank under a swap contract. Issues in the case have been remitted by the UK Supreme Court ([2021] UKSC 57 )to the High Court for determination.</w:t>
      </w:r>
    </w:p>
    <w:p/>
    <w:p>
      <w:pPr/>
      <w:r>
        <w:rPr/>
        <w:t xml:space="preserve">Advising an NGO on submissions to the International Criminal Court concerning jurisdiction over the Situation in Palestine.</w:t>
      </w:r>
    </w:p>
    <w:p/>
    <w:p>
      <w:pPr/>
      <w:r>
        <w:rPr/>
        <w:t xml:space="preserve">Acting for an NGO in preparing several submissions to the Office of the Prosecutor of the International Criminal Court concerning War Crimes and Crimes Against Humanity committed by individuals in the Middle East.</w:t>
      </w:r>
    </w:p>
    <w:p/>
    <w:p>
      <w:pPr/>
      <w:r>
        <w:rPr/>
        <w:t xml:space="preserve">Acting for an NGO in a complaint to the UK’s National Contact Point tribunal concerning a breach of the OECD Guidelines for Multinational Enterprises by a major accountancy firm. The complaint was accepted by the National Contact Point, the final assessment of which called on the accountancy firm to change its global human rights policies.</w:t>
      </w:r>
    </w:p>
    <w:p/>
    <w:p>
      <w:pPr/>
      <w:r>
        <w:rPr/>
        <w:t xml:space="preserve">Acting for the Russian Federation in numerous enforcement matters arising from the </w:t>
      </w:r>
      <w:r>
        <w:rPr>
          <w:i w:val="1"/>
          <w:iCs w:val="1"/>
        </w:rPr>
        <w:t xml:space="preserve">Yukos </w:t>
      </w:r>
      <w:r>
        <w:rPr/>
        <w:t xml:space="preserve">arbitration (as a solicitor-advocate).</w:t>
      </w:r>
    </w:p>
    <w:p/>
    <w:p>
      <w:pPr/>
      <w:r>
        <w:rPr>
          <w:b w:val="1"/>
          <w:bCs w:val="1"/>
        </w:rPr>
        <w:t xml:space="preserve">Law Debenture Trust Corporation PLC v Ukraine</w:t>
      </w:r>
    </w:p>
    <w:p>
      <w:pPr/>
      <w:r>
        <w:rPr/>
        <w:t xml:space="preserve">Acting for the Russian Federation (as bondholder) in a dispute with Ukraine, concerning Ukraine’s default on a $3 billion bond (as a solicitor-advocate).</w:t>
      </w:r>
    </w:p>
    <w:p/>
    <w:p>
      <w:pPr/>
      <w:r>
        <w:rPr>
          <w:b w:val="1"/>
          <w:bCs w:val="1"/>
        </w:rPr>
        <w:t xml:space="preserve">NML Capital Ltd v Argentina</w:t>
      </w:r>
    </w:p>
    <w:p>
      <w:pPr/>
      <w:r>
        <w:rPr/>
        <w:t xml:space="preserve">Acting for the Argentine Republic in matters arising from a sovereign debt dispute, including the seizure of the Argentine Navy’s flagship, </w:t>
      </w:r>
      <w:r>
        <w:rPr>
          <w:i w:val="1"/>
          <w:iCs w:val="1"/>
        </w:rPr>
        <w:t xml:space="preserve">The ARA Libertad</w:t>
      </w:r>
      <w:r>
        <w:rPr/>
        <w:t xml:space="preserve">, in Ghana (as a solicitor-advocate).</w:t>
      </w:r>
    </w:p>
    <w:p/>
    <w:p>
      <w:pPr/>
      <w:r>
        <w:rPr>
          <w:b w:val="1"/>
          <w:bCs w:val="1"/>
        </w:rPr>
        <w:t xml:space="preserve">Poštová banka, a.s. and ISTROKAPITAL SE v. Hellenic Republic</w:t>
      </w:r>
    </w:p>
    <w:p>
      <w:pPr/>
      <w:r>
        <w:rPr/>
        <w:t xml:space="preserve">Acting for the Hellenic Republic in an investor-state arbitration under the ICSID Rules, concerning the legality of the Greek Debt Bail-Out (as a solicitor-advocate).</w:t>
      </w:r>
    </w:p>
    <w:p/>
    <w:p>
      <w:pPr>
        <w:pStyle w:val="Heading3"/>
      </w:pPr>
      <w:bookmarkStart w:id="18" w:name="_Toc18"/>
      <w:r>
        <w:t>International Arbitration</w:t>
      </w:r>
      <w:bookmarkEnd w:id="18"/>
    </w:p>
    <w:p/>
    <w:p>
      <w:pPr>
        <w:pStyle w:val="Heading4"/>
      </w:pPr>
      <w:bookmarkStart w:id="19" w:name="_Toc19"/>
      <w:r>
        <w:t>Notable cases</w:t>
      </w:r>
      <w:bookmarkEnd w:id="19"/>
    </w:p>
    <w:p>
      <w:pPr/>
      <w:r>
        <w:rPr>
          <w:b w:val="1"/>
          <w:bCs w:val="1"/>
        </w:rPr>
        <w:t xml:space="preserve">CA v J&amp;F, Eldorado</w:t>
      </w:r>
    </w:p>
    <w:p>
      <w:pPr/>
      <w:r>
        <w:rPr/>
        <w:t xml:space="preserve">Acting for Eldorado (led by Mark Howard KC and Salim Moollan KC) in a claim for enforcement of an arbitration award rendered in Brazil. Eldorado is an award debtor, along with its parent company J&amp;F (represented by Lawrence Rabinowitz KC, Conall Patton KC and Henry Hoskins). The award relates to the control of a major cellulose company which is owned by one of Brazil’s largest conglomerates. Enforcement of the award is challenged on, among other grounds, its performance being contrary to public policy in Brazil.</w:t>
      </w:r>
    </w:p>
    <w:p/>
    <w:p>
      <w:pPr/>
      <w:r>
        <w:rPr>
          <w:b w:val="1"/>
          <w:bCs w:val="1"/>
        </w:rPr>
        <w:t xml:space="preserve">AS PNB Banka and others v. Republic of Latvia, ICSID Case No. ARB/17/47 </w:t>
      </w:r>
    </w:p>
    <w:p>
      <w:pPr/>
      <w:r>
        <w:rPr/>
        <w:t xml:space="preserve">Acting for the shareholder claimants in the merits hearing of a Bilateral Investment Treaty arbitration concerning alleged corruption at the highest levels of Latvian banking regulation.</w:t>
      </w:r>
    </w:p>
    <w:p/>
    <w:p>
      <w:pPr/>
      <w:r>
        <w:rPr/>
        <w:t xml:space="preserve">Acting for a co-investor in a dispute before the LCIA concerning a joint venture vehicle in the extractives industry (led by Michael Swainston KC and James Duffy). Award of over $40 million in favour of the claimant.</w:t>
      </w:r>
    </w:p>
    <w:p/>
    <w:p>
      <w:pPr/>
      <w:r>
        <w:rPr/>
        <w:t xml:space="preserve">Acting for a corporate in the agricultural commodities trading industry in a dispute before SIAC.</w:t>
      </w:r>
    </w:p>
    <w:p/>
    <w:p>
      <w:pPr/>
      <w:r>
        <w:rPr/>
        <w:t xml:space="preserve">Advising a corporate in the agricultural industry in a potential LCIA dispute concerning the licensing of crops.</w:t>
      </w:r>
    </w:p>
    <w:p/>
    <w:p>
      <w:pPr/>
      <w:r>
        <w:rPr/>
        <w:t xml:space="preserve">Acting for a corporate in a dispute before the LCIA worth over $100 million, including delivering the opening and closing oral submissions (as a solicitor-advocate).</w:t>
      </w:r>
    </w:p>
    <w:p/>
    <w:p>
      <w:pPr/>
      <w:r>
        <w:rPr>
          <w:b w:val="1"/>
          <w:bCs w:val="1"/>
        </w:rPr>
        <w:t xml:space="preserve">P v Q [2017] 1 W.L.R. 3823; P v Q [2017] 1 W.L.R. 3800</w:t>
      </w:r>
    </w:p>
    <w:p>
      <w:pPr/>
      <w:r>
        <w:rPr/>
        <w:t xml:space="preserve">Acting in cases relating to the attempted removal of an arbitral panel for alleged misconduct in delegating duties to the arbitral assistant. Successfully resisted removal of arbitral panel (as a solicitor-advocate).</w:t>
      </w:r>
    </w:p>
    <w:p/>
    <w:p>
      <w:pPr/>
      <w:r>
        <w:rPr>
          <w:b w:val="1"/>
          <w:bCs w:val="1"/>
        </w:rPr>
        <w:t xml:space="preserve">Vale SA v BSG Resources</w:t>
      </w:r>
    </w:p>
    <w:p>
      <w:pPr/>
      <w:r>
        <w:rPr/>
        <w:t xml:space="preserve">Acting for Vale SA in LCIA arbitration concerning mining rights in the Republic of Guinea. $2 billion award made in favour of Vale SA (as a solicitor-advocate).</w:t>
      </w:r>
    </w:p>
    <w:p/>
    <w:p>
      <w:pPr/>
      <w:r>
        <w:rPr/>
        <w:t xml:space="preserve">Assisting counsel for the defendant in an investor-state dispute involving an alleged expropriation of an investment in an oil and gas company (as a pupil).</w:t>
      </w:r>
    </w:p>
    <w:p/>
    <w:p>
      <w:pPr>
        <w:pStyle w:val="Heading3"/>
      </w:pPr>
      <w:bookmarkStart w:id="20" w:name="_Toc20"/>
      <w:r>
        <w:t>Sanctions</w:t>
      </w:r>
      <w:bookmarkEnd w:id="20"/>
    </w:p>
    <w:p>
      <w:pPr/>
      <w:r>
        <w:rPr/>
        <w:t xml:space="preserve">Jacob has recently advised several clients on issues arising from the UK sanctions regime.</w:t>
      </w:r>
    </w:p>
    <w:p/>
    <w:p>
      <w:pPr>
        <w:pStyle w:val="Heading4"/>
      </w:pPr>
      <w:bookmarkStart w:id="21" w:name="_Toc21"/>
      <w:r>
        <w:t>Notable cases</w:t>
      </w:r>
      <w:bookmarkEnd w:id="21"/>
    </w:p>
    <w:p>
      <w:pPr/>
      <w:r>
        <w:rPr>
          <w:b w:val="1"/>
          <w:bCs w:val="1"/>
        </w:rPr>
        <w:t xml:space="preserve">Virgo and Nixie Marine v Reed Smith LLP  [2025] Costs L.R. 1345 </w:t>
      </w:r>
    </w:p>
    <w:p>
      <w:pPr/>
      <w:r>
        <w:rPr/>
        <w:t xml:space="preserve">Jacob represents Virgo, a company designated by the US under the Iran sanctions regime and its affiliate Nixie. The claim arose from a transaction to purchase an oil tanker, which the claimants say failed owing to the negligent actions of the escrow agent Reed Smith in wrongly directing its bank that the purchase funds should be frozen. Reed Smith has joined its bank, Barclays, as a third party defendant. In 2025, as sole counsel, Jacob successfully opposed a claim by Reed Smith for over £6m in security for costs. One of </w:t>
      </w:r>
      <w:r>
        <w:rPr>
          <w:i w:val="1"/>
          <w:iCs w:val="1"/>
        </w:rPr>
        <w:t xml:space="preserve">The Lawyer’s</w:t>
      </w:r>
      <w:r>
        <w:rPr/>
        <w:t xml:space="preserve"> Top 20 cases of 2026.</w:t>
      </w:r>
    </w:p>
    <w:p/>
    <w:p>
      <w:pPr/>
      <w:r>
        <w:rPr/>
        <w:t xml:space="preserve">Acting for a law firm concerning its representation of a client in proceedings in the UK Supreme Court, with respect to the designation of that client under the UK Russia sanctions regime.</w:t>
      </w:r>
    </w:p>
    <w:p/>
    <w:p>
      <w:pPr/>
      <w:r>
        <w:rPr/>
        <w:t xml:space="preserve">Advising a prominent private client law firm concerning UK sanctions regime, and in particular the ban on the provision of trust services.</w:t>
      </w:r>
    </w:p>
    <w:p/>
    <w:p>
      <w:pPr/>
      <w:r>
        <w:rPr/>
        <w:t xml:space="preserve">Advising on whether a designated person under the UK Russia Sanctions regime is in ‘control’ of a non-designated entity, for the purpose of heavy commercial litigation in which the entity was a party.</w:t>
      </w:r>
    </w:p>
    <w:p/>
    <w:p>
      <w:pPr/>
      <w:r>
        <w:rPr/>
        <w:t xml:space="preserve">Advising a subsidiary of a Russian State-Owned company as to the impact of the UK sanctions regime, including both as to asset freezes and trade-related sanctions in the energy industry.</w:t>
      </w:r>
    </w:p>
    <w:p/>
    <w:p>
      <w:pPr/>
      <w:r>
        <w:rPr/>
        <w:t xml:space="preserve">Acting for two shipping companies and their ultimate beneficial owner, in a dispute concerning the applicability of the US Iran sanctions regime, and the EU / UK Blocking Regulations (which criminalise compliance with aspects of the US sanctions regime by UK / EU individuals).</w:t>
      </w:r>
    </w:p>
    <w:p/>
    <w:p>
      <w:pPr/>
      <w:r>
        <w:rPr/>
        <w:t xml:space="preserve">Multiple advices on the preparation of licenses for submission to HM Treasury, the unwinding of transactions with sanctioned entities, the compulsory reporting of suspected sanctions breaches, and the current practice of enforcement authorities.</w:t>
      </w:r>
    </w:p>
    <w:p/>
    <w:p/>
    <w:p>
      <w:pPr>
        <w:pStyle w:val="Heading2"/>
      </w:pPr>
      <w:bookmarkStart w:id="22" w:name="_Toc22"/>
      <w:r>
        <w:t>Directory Quotes</w:t>
      </w:r>
      <w:bookmarkEnd w:id="22"/>
    </w:p>
    <w:p>
      <w:pPr/>
      <w:r>
        <w:rPr>
          <w:i w:val="1"/>
          <w:iCs w:val="1"/>
        </w:rPr>
        <w:t xml:space="preserve">"Jacob continues to be the leading barrister in the AI space. He is a guru of AI law and regulation, and now has an unparalleled almost decade worth of experience in this area."</w:t>
      </w:r>
    </w:p>
    <w:p>
      <w:pPr/>
      <w:r>
        <w:rPr/>
        <w:t xml:space="preserve">Legal 500</w:t>
      </w:r>
    </w:p>
    <w:p/>
    <w:p>
      <w:pPr/>
      <w:r>
        <w:rPr>
          <w:i w:val="1"/>
          <w:iCs w:val="1"/>
        </w:rPr>
        <w:t xml:space="preserve">“Highly intelligent, focused, quick to see the main issue and produces paperwork of the highest quality.”</w:t>
      </w:r>
    </w:p>
    <w:p>
      <w:pPr/>
      <w:r>
        <w:rPr/>
        <w:t xml:space="preserve">Legal 500</w:t>
      </w:r>
    </w:p>
    <w:p/>
    <w:p>
      <w:pPr/>
      <w:r>
        <w:rPr>
          <w:i w:val="1"/>
          <w:iCs w:val="1"/>
        </w:rPr>
        <w:t xml:space="preserve">“Jacob is a dynamic junior with an enviable reputation for his work in high value and high stakes commercial litigation. He is extremely bright and hard-working and writes beautifully.”</w:t>
      </w:r>
    </w:p>
    <w:p>
      <w:pPr/>
      <w:r>
        <w:rPr/>
        <w:t xml:space="preserve">Legal 500</w:t>
      </w:r>
    </w:p>
    <w:p/>
    <w:p>
      <w:pPr/>
      <w:r>
        <w:rPr>
          <w:i w:val="1"/>
          <w:iCs w:val="1"/>
        </w:rPr>
        <w:t xml:space="preserve">“Jacob's advice is effortlessly lucid and delivered at speed, yet never lacking in rigour or practical insight. He has a rare talent for distilling complex technical issues into crystal-clear recommendations. His client manner is elegant and unfailingly pragmatic, and he commands respect from juniors and silks alike.”</w:t>
      </w:r>
    </w:p>
    <w:p>
      <w:pPr/>
      <w:r>
        <w:rPr/>
        <w:t xml:space="preserve">Legal 500</w:t>
      </w:r>
    </w:p>
    <w:p/>
    <w:p>
      <w:pPr/>
      <w:r>
        <w:rPr>
          <w:i w:val="1"/>
          <w:iCs w:val="1"/>
        </w:rPr>
        <w:t xml:space="preserve">“Jacob is outstanding. Ferociously intelligent, hugely hard working, a great team player. Really building a reputation in particular in sovereign related work and an excellent senior junior who will go far.”</w:t>
      </w:r>
    </w:p>
    <w:p>
      <w:pPr/>
      <w:r>
        <w:rPr/>
        <w:t xml:space="preserve">Legal 500</w:t>
      </w:r>
    </w:p>
    <w:p/>
    <w:p>
      <w:pPr/>
      <w:r>
        <w:rPr>
          <w:i w:val="1"/>
          <w:iCs w:val="1"/>
        </w:rPr>
        <w:t xml:space="preserve">“There isn't anything Jacob doesn't know about sanctions. He is responsive and provides advice in a very client-friendly way. Sanctions work is complex but he is able to advise with ease.”</w:t>
      </w:r>
    </w:p>
    <w:p>
      <w:pPr/>
      <w:r>
        <w:rPr/>
        <w:t xml:space="preserve">Legal 500</w:t>
      </w:r>
    </w:p>
    <w:p/>
    <w:p>
      <w:pPr/>
      <w:r>
        <w:rPr>
          <w:i w:val="1"/>
          <w:iCs w:val="1"/>
        </w:rPr>
        <w:t xml:space="preserve">"Jacob is undoubtedly one of the leading legal minds in the area of AI. His stunningly lucid advice is second-to-none, he is personable, client-focussed and obsessed with contextualising advice into business-friendly contexts. He is politically sensitive and always strikes the right tone in guiding clients through difficult issues.”</w:t>
      </w:r>
    </w:p>
    <w:p>
      <w:pPr/>
      <w:r>
        <w:rPr/>
        <w:t xml:space="preserve">Legal 500</w:t>
      </w:r>
    </w:p>
    <w:p/>
    <w:p>
      <w:pPr/>
      <w:r>
        <w:rPr>
          <w:i w:val="1"/>
          <w:iCs w:val="1"/>
        </w:rPr>
        <w:t xml:space="preserve">“Jacob works quickly and efficiently, and to an exceptional standard. His advocacy skills are excellent.”</w:t>
      </w:r>
    </w:p>
    <w:p>
      <w:pPr/>
      <w:r>
        <w:rPr/>
        <w:t xml:space="preserve">Legal 500</w:t>
      </w:r>
    </w:p>
    <w:p/>
    <w:p>
      <w:pPr/>
      <w:r>
        <w:rPr>
          <w:i w:val="1"/>
          <w:iCs w:val="1"/>
        </w:rPr>
        <w:t xml:space="preserve">“Jacob Turner is a real star. He is incredibly efficient, very user-friendly and clever. He gets the right answer very quickly.”</w:t>
      </w:r>
    </w:p>
    <w:p>
      <w:pPr/>
      <w:r>
        <w:rPr/>
        <w:t xml:space="preserve">Chambers and Partners</w:t>
      </w:r>
    </w:p>
    <w:p/>
    <w:p>
      <w:pPr/>
      <w:r>
        <w:rPr>
          <w:i w:val="1"/>
          <w:iCs w:val="1"/>
        </w:rPr>
        <w:t xml:space="preserve">"Jacob has a first-class intellect. A wonderful, quick-witted advocate."</w:t>
      </w:r>
    </w:p>
    <w:p>
      <w:pPr/>
      <w:r>
        <w:rPr/>
        <w:t xml:space="preserve">Chambers and Partners</w:t>
      </w:r>
    </w:p>
    <w:p/>
    <w:p/>
    <w:p>
      <w:pPr>
        <w:pStyle w:val="Heading2"/>
      </w:pPr>
      <w:bookmarkStart w:id="23" w:name="_Toc23"/>
      <w:r>
        <w:t>Directory Rankings</w:t>
      </w:r>
      <w:bookmarkEnd w:id="23"/>
    </w:p>
    <w:p>
      <w:pPr>
        <w:pStyle w:val="Heading5"/>
      </w:pPr>
      <w:r>
        <w:rPr/>
        <w:t xml:space="preserve">Chambers &amp; Partners – Global</w:t>
      </w:r>
    </w:p>
    <w:p>
      <w:pPr>
        <w:numPr>
          <w:ilvl w:val="0"/>
          <w:numId w:val="7"/>
        </w:numPr>
      </w:pPr>
      <w:r>
        <w:rPr/>
        <w:t xml:space="preserve">Global Market Leaders – Artificial Intelligence</w:t>
      </w:r>
    </w:p>
    <w:p>
      <w:pPr>
        <w:pStyle w:val="Heading5"/>
      </w:pPr>
      <w:r>
        <w:rPr/>
        <w:t xml:space="preserve">Chambers &amp; Partners – UK</w:t>
      </w:r>
    </w:p>
    <w:p>
      <w:pPr>
        <w:numPr>
          <w:ilvl w:val="0"/>
          <w:numId w:val="8"/>
        </w:numPr>
      </w:pPr>
      <w:r>
        <w:rPr/>
        <w:t xml:space="preserve">Aviation (Band 3)</w:t>
      </w:r>
    </w:p>
    <w:p>
      <w:pPr>
        <w:numPr>
          <w:ilvl w:val="0"/>
          <w:numId w:val="8"/>
        </w:numPr>
      </w:pPr>
      <w:r>
        <w:rPr/>
        <w:t xml:space="preserve">Data Protection (Band 3)</w:t>
      </w:r>
    </w:p>
    <w:p>
      <w:pPr>
        <w:numPr>
          <w:ilvl w:val="0"/>
          <w:numId w:val="8"/>
        </w:numPr>
      </w:pPr>
      <w:r>
        <w:rPr/>
        <w:t xml:space="preserve">Information Technology (Band 2)</w:t>
      </w:r>
    </w:p>
    <w:p>
      <w:pPr>
        <w:numPr>
          <w:ilvl w:val="0"/>
          <w:numId w:val="8"/>
        </w:numPr>
      </w:pPr>
      <w:r>
        <w:rPr/>
        <w:t xml:space="preserve">Sanctions (Band 2)</w:t>
      </w:r>
    </w:p>
    <w:p>
      <w:pPr>
        <w:pStyle w:val="Heading5"/>
      </w:pPr>
      <w:r>
        <w:rPr/>
        <w:t xml:space="preserve">Legal 500</w:t>
      </w:r>
    </w:p>
    <w:p>
      <w:pPr>
        <w:numPr>
          <w:ilvl w:val="0"/>
          <w:numId w:val="9"/>
        </w:numPr>
      </w:pPr>
      <w:r>
        <w:rPr/>
        <w:t xml:space="preserve">Administrative Law &amp; Human Rights</w:t>
      </w:r>
    </w:p>
    <w:p>
      <w:pPr>
        <w:numPr>
          <w:ilvl w:val="0"/>
          <w:numId w:val="9"/>
        </w:numPr>
      </w:pPr>
      <w:r>
        <w:rPr/>
        <w:t xml:space="preserve">Commercial Litigation</w:t>
      </w:r>
    </w:p>
    <w:p>
      <w:pPr>
        <w:numPr>
          <w:ilvl w:val="0"/>
          <w:numId w:val="9"/>
        </w:numPr>
      </w:pPr>
      <w:r>
        <w:rPr/>
        <w:t xml:space="preserve">Data Protection</w:t>
      </w:r>
    </w:p>
    <w:p>
      <w:pPr>
        <w:numPr>
          <w:ilvl w:val="0"/>
          <w:numId w:val="9"/>
        </w:numPr>
      </w:pPr>
      <w:r>
        <w:rPr/>
        <w:t xml:space="preserve">IT &amp; Telecoms</w:t>
      </w:r>
    </w:p>
    <w:p>
      <w:pPr>
        <w:numPr>
          <w:ilvl w:val="0"/>
          <w:numId w:val="9"/>
        </w:numPr>
      </w:pPr>
      <w:r>
        <w:rPr/>
        <w:t xml:space="preserve">Public International Law</w:t>
      </w:r>
    </w:p>
    <w:p>
      <w:pPr>
        <w:numPr>
          <w:ilvl w:val="0"/>
          <w:numId w:val="9"/>
        </w:numPr>
      </w:pPr>
      <w:r>
        <w:rPr/>
        <w:t xml:space="preserve">Sanctions</w:t>
      </w:r>
    </w:p>
    <w:p>
      <w:pPr/>
      <w:r>
        <w:rPr>
          <w:b w:val="1"/>
          <w:bCs w:val="1"/>
        </w:rPr>
        <w:t xml:space="preserve">Lexology Index</w:t>
      </w:r>
    </w:p>
    <w:p>
      <w:pPr>
        <w:numPr>
          <w:ilvl w:val="0"/>
          <w:numId w:val="10"/>
        </w:numPr>
      </w:pPr>
      <w:r>
        <w:rPr/>
        <w:t xml:space="preserve">Artificial Intelligence: Contentious</w:t>
      </w:r>
    </w:p>
    <w:p/>
    <w:p>
      <w:pPr>
        <w:pStyle w:val="Heading2"/>
      </w:pPr>
      <w:bookmarkStart w:id="24" w:name="_Toc24"/>
      <w:r>
        <w:t>Education</w:t>
      </w:r>
      <w:bookmarkEnd w:id="24"/>
    </w:p>
    <w:p>
      <w:pPr>
        <w:numPr>
          <w:ilvl w:val="0"/>
          <w:numId w:val="11"/>
        </w:numPr>
      </w:pPr>
      <w:r>
        <w:rPr/>
        <w:t xml:space="preserve">2014: Higher Courts (Civil Advocacy) Qualification as a Solicitor-Advocate</w:t>
      </w:r>
    </w:p>
    <w:p>
      <w:pPr>
        <w:numPr>
          <w:ilvl w:val="0"/>
          <w:numId w:val="11"/>
        </w:numPr>
      </w:pPr>
      <w:r>
        <w:rPr/>
        <w:t xml:space="preserve">2011 – 2012: LPC (Distinction)</w:t>
      </w:r>
    </w:p>
    <w:p>
      <w:pPr>
        <w:numPr>
          <w:ilvl w:val="0"/>
          <w:numId w:val="11"/>
        </w:numPr>
      </w:pPr>
      <w:r>
        <w:rPr/>
        <w:t xml:space="preserve">2010 – 2011: LLM., Harvard Law School</w:t>
      </w:r>
    </w:p>
    <w:p>
      <w:pPr>
        <w:numPr>
          <w:ilvl w:val="0"/>
          <w:numId w:val="11"/>
        </w:numPr>
      </w:pPr>
      <w:r>
        <w:rPr/>
        <w:t xml:space="preserve">2007 – 2010: MA., Jurisprudence, Worcester College, Oxford University (First Class)</w:t>
      </w:r>
    </w:p>
    <w:p/>
    <w:p>
      <w:pPr>
        <w:pStyle w:val="Heading2"/>
      </w:pPr>
      <w:bookmarkStart w:id="25" w:name="_Toc25"/>
      <w:r>
        <w:t>Appointments, Memberships and Prizes</w:t>
      </w:r>
      <w:bookmarkEnd w:id="25"/>
    </w:p>
    <w:p>
      <w:pPr/>
      <w:r>
        <w:rPr>
          <w:b w:val="1"/>
          <w:bCs w:val="1"/>
        </w:rPr>
        <w:t xml:space="preserve">Prizes and Awards</w:t>
      </w:r>
    </w:p>
    <w:p>
      <w:pPr>
        <w:numPr>
          <w:ilvl w:val="0"/>
          <w:numId w:val="12"/>
        </w:numPr>
      </w:pPr>
      <w:r>
        <w:rPr/>
        <w:t xml:space="preserve">Pegasus Scholarship, to participate in an exchange with the US Supreme Court, 2016</w:t>
      </w:r>
    </w:p>
    <w:p>
      <w:pPr>
        <w:numPr>
          <w:ilvl w:val="0"/>
          <w:numId w:val="12"/>
        </w:numPr>
      </w:pPr>
      <w:r>
        <w:rPr/>
        <w:t xml:space="preserve">Harvard Law School Scholarship, 2010</w:t>
      </w:r>
    </w:p>
    <w:p>
      <w:pPr>
        <w:numPr>
          <w:ilvl w:val="0"/>
          <w:numId w:val="12"/>
        </w:numPr>
      </w:pPr>
      <w:r>
        <w:rPr/>
        <w:t xml:space="preserve">Martin Wronker prize (for highest mark in the University for Administrative Law in Oxford University Finals), 2010</w:t>
      </w:r>
    </w:p>
    <w:p>
      <w:pPr>
        <w:numPr>
          <w:ilvl w:val="0"/>
          <w:numId w:val="12"/>
        </w:numPr>
      </w:pPr>
      <w:r>
        <w:rPr/>
        <w:t xml:space="preserve">Lovells prize (for highest marks at Worcester College in Contract, Tort and Administrative Law exams in second year), 2009</w:t>
      </w:r>
    </w:p>
    <w:p>
      <w:pPr>
        <w:numPr>
          <w:ilvl w:val="0"/>
          <w:numId w:val="12"/>
        </w:numPr>
      </w:pPr>
      <w:r>
        <w:rPr/>
        <w:t xml:space="preserve">Simmons Prize (for performance in Law Moderations), 2008</w:t>
      </w:r>
    </w:p>
    <w:p>
      <w:pPr>
        <w:numPr>
          <w:ilvl w:val="0"/>
          <w:numId w:val="12"/>
        </w:numPr>
      </w:pPr>
      <w:r>
        <w:rPr/>
        <w:t xml:space="preserve">Worcester College Scholarship, 2008</w:t>
      </w:r>
    </w:p>
    <w:p>
      <w:pPr/>
      <w:br/>
      <w:r>
        <w:rPr>
          <w:b w:val="1"/>
          <w:bCs w:val="1"/>
        </w:rPr>
        <w:t xml:space="preserve">Teaching</w:t>
      </w:r>
    </w:p>
    <w:p>
      <w:pPr/>
      <w:r>
        <w:rPr/>
        <w:t xml:space="preserve">Jacob lectures regularly on the governance of AI. He has spoken at universities including: Oxford, Cambridge, Shanghai Maritime, Tel Aviv, University of California, New York University, and the Max Planck Institute in Hamburg. His current and former teaching roles include:</w:t>
      </w:r>
    </w:p>
    <w:p>
      <w:pPr>
        <w:numPr>
          <w:ilvl w:val="0"/>
          <w:numId w:val="13"/>
        </w:numPr>
      </w:pPr>
      <w:r>
        <w:rPr/>
        <w:t xml:space="preserve">Singapore Management University (2019 – ) – Leading a twice-yearly course on the regulation of AI, as part of the Graduate Diploma in Legal Technology</w:t>
      </w:r>
    </w:p>
    <w:p>
      <w:pPr>
        <w:numPr>
          <w:ilvl w:val="0"/>
          <w:numId w:val="13"/>
        </w:numPr>
      </w:pPr>
      <w:r>
        <w:rPr/>
        <w:t xml:space="preserve">Cambridge University, Judge Business School (2018 – ) – Visiting Lecturer (annually) on the regulation of AI, as part of the Masters in Technology Policy MPhil Course</w:t>
      </w:r>
    </w:p>
    <w:p>
      <w:pPr>
        <w:numPr>
          <w:ilvl w:val="0"/>
          <w:numId w:val="13"/>
        </w:numPr>
      </w:pPr>
      <w:r>
        <w:rPr/>
        <w:t xml:space="preserve">Worcester College, Oxford University (2012) – Senior Non-Stipendiary Lecturer in Law</w:t>
      </w:r>
    </w:p>
    <w:p>
      <w:pPr>
        <w:numPr>
          <w:ilvl w:val="0"/>
          <w:numId w:val="13"/>
        </w:numPr>
      </w:pPr>
      <w:r>
        <w:rPr/>
        <w:t xml:space="preserve">King’s College London (2012) – Visiting Tutor in Law</w:t>
      </w:r>
    </w:p>
    <w:p>
      <w:pPr/>
      <w:br/>
      <w:r>
        <w:rPr>
          <w:b w:val="1"/>
          <w:bCs w:val="1"/>
        </w:rPr>
        <w:t xml:space="preserve">Judicial Assistant to Lord Mance (2015-2016)</w:t>
      </w:r>
      <w:r>
        <w:rPr>
          <w:b w:val="1"/>
          <w:bCs w:val="1"/>
        </w:rPr>
        <w:t xml:space="preserve"> </w:t>
      </w:r>
    </w:p>
    <w:p>
      <w:pPr>
        <w:numPr>
          <w:ilvl w:val="0"/>
          <w:numId w:val="14"/>
        </w:numPr>
      </w:pPr>
      <w:r>
        <w:rPr/>
        <w:t xml:space="preserve">Jacob assisted the Supreme Court Justices and Judicial Committee of the Privy Council with cases including:</w:t>
      </w:r>
    </w:p>
    <w:p>
      <w:pPr>
        <w:numPr>
          <w:ilvl w:val="0"/>
          <w:numId w:val="14"/>
        </w:numPr>
      </w:pPr>
      <w:r>
        <w:rPr>
          <w:i w:val="1"/>
          <w:iCs w:val="1"/>
        </w:rPr>
        <w:t xml:space="preserve">Secretary of State for Foreign and Commonwealth Affairs v Rahmatullah; Belhaj and Boudchar v Jack Straw MP and Others</w:t>
      </w:r>
      <w:r>
        <w:rPr/>
        <w:t xml:space="preserve"> </w:t>
      </w:r>
      <w:r>
        <w:rPr/>
        <w:t xml:space="preserve">[2017] UKSC 3</w:t>
      </w:r>
    </w:p>
    <w:p>
      <w:pPr>
        <w:numPr>
          <w:ilvl w:val="0"/>
          <w:numId w:val="14"/>
        </w:numPr>
      </w:pPr>
      <w:r>
        <w:rPr>
          <w:i w:val="1"/>
          <w:iCs w:val="1"/>
        </w:rPr>
        <w:t xml:space="preserve">Willers v Joyce and another (in substitution for and in their capacity as executors of Albert Gubay (deceased)</w:t>
      </w:r>
      <w:r>
        <w:rPr/>
        <w:t xml:space="preserve"> </w:t>
      </w:r>
      <w:r>
        <w:rPr/>
        <w:t xml:space="preserve">[2016] UKSC 43 &amp; [2016] UKSC 44</w:t>
      </w:r>
    </w:p>
    <w:p>
      <w:pPr>
        <w:numPr>
          <w:ilvl w:val="0"/>
          <w:numId w:val="14"/>
        </w:numPr>
      </w:pPr>
      <w:r>
        <w:rPr>
          <w:i w:val="1"/>
          <w:iCs w:val="1"/>
        </w:rPr>
        <w:t xml:space="preserve">Eclairs Group Limited v JKX Oil &amp; Gas Plc</w:t>
      </w:r>
      <w:r>
        <w:rPr/>
        <w:t xml:space="preserve"> </w:t>
      </w:r>
      <w:r>
        <w:rPr/>
        <w:t xml:space="preserve">[2015] UKSC 71</w:t>
      </w:r>
    </w:p>
    <w:p>
      <w:pPr>
        <w:numPr>
          <w:ilvl w:val="0"/>
          <w:numId w:val="14"/>
        </w:numPr>
      </w:pPr>
      <w:r>
        <w:rPr>
          <w:i w:val="1"/>
          <w:iCs w:val="1"/>
        </w:rPr>
        <w:t xml:space="preserve">Cavendish Square Holding BV v Talal El Makdessi</w:t>
      </w:r>
      <w:r>
        <w:rPr/>
        <w:t xml:space="preserve"> </w:t>
      </w:r>
      <w:r>
        <w:rPr/>
        <w:t xml:space="preserve">[2015] UKSC 67</w:t>
      </w:r>
    </w:p>
    <w:p>
      <w:pPr/>
      <w:br/>
      <w:r>
        <w:rPr>
          <w:b w:val="1"/>
          <w:bCs w:val="1"/>
        </w:rPr>
        <w:t xml:space="preserve">Other positions</w:t>
      </w:r>
    </w:p>
    <w:p>
      <w:pPr>
        <w:numPr>
          <w:ilvl w:val="0"/>
          <w:numId w:val="15"/>
        </w:numPr>
      </w:pPr>
      <w:r>
        <w:rPr/>
        <w:t xml:space="preserve">Appointed to the Attorney General’s London B Panel (with effect from 1 September 2025)</w:t>
      </w:r>
    </w:p>
    <w:p>
      <w:pPr>
        <w:numPr>
          <w:ilvl w:val="0"/>
          <w:numId w:val="15"/>
        </w:numPr>
      </w:pPr>
      <w:r>
        <w:rPr/>
        <w:t xml:space="preserve">Appointed to the Attorney General’s Public International Law (PIL) B Panel (with effect from 1 January 2026)</w:t>
      </w:r>
    </w:p>
    <w:p>
      <w:pPr>
        <w:numPr>
          <w:ilvl w:val="0"/>
          <w:numId w:val="15"/>
        </w:numPr>
      </w:pPr>
      <w:r>
        <w:rPr/>
        <w:t xml:space="preserve">Permanent Mission of Israel to the United Nations, New York (2011) – External Legal Consultant and Speechwriter to the Ambassador.</w:t>
      </w:r>
    </w:p>
    <w:p/>
    <w:p>
      <w:pPr>
        <w:pStyle w:val="Heading2"/>
      </w:pPr>
      <w:bookmarkStart w:id="26" w:name="_Toc26"/>
      <w:r>
        <w:t>Publications</w:t>
      </w:r>
      <w:bookmarkEnd w:id="26"/>
    </w:p>
    <w:p>
      <w:pPr>
        <w:numPr>
          <w:ilvl w:val="0"/>
          <w:numId w:val="16"/>
        </w:numPr>
      </w:pPr>
      <w:hyperlink r:id="rId7" w:history="1">
        <w:r>
          <w:rPr/>
          <w:t xml:space="preserve">The Law of Artificial Intelligence</w:t>
        </w:r>
      </w:hyperlink>
      <w:r>
        <w:rPr/>
        <w:t xml:space="preserve">, Contributing author to a practitioner textbook on legal issues arising from AI. Author of the International Regulation chapter. Due to be published by Sweet &amp; Maxwell (2020)</w:t>
      </w:r>
    </w:p>
    <w:p>
      <w:pPr>
        <w:numPr>
          <w:ilvl w:val="0"/>
          <w:numId w:val="16"/>
        </w:numPr>
      </w:pPr>
      <w:hyperlink r:id="rId8" w:history="1">
        <w:r>
          <w:rPr/>
          <w:t xml:space="preserve">Robot Rules: Regulating Artificial Intelligence</w:t>
        </w:r>
      </w:hyperlink>
      <w:r>
        <w:rPr/>
        <w:t xml:space="preserve">, A guide to how national and international law should address AI. Published by Palgrave Macmillan (2018)</w:t>
      </w:r>
    </w:p>
    <w:p>
      <w:pPr>
        <w:numPr>
          <w:ilvl w:val="0"/>
          <w:numId w:val="16"/>
        </w:numPr>
      </w:pPr>
      <w:hyperlink r:id="rId9" w:history="1">
        <w:r>
          <w:rPr/>
          <w:t xml:space="preserve">Privy Council Practice</w:t>
        </w:r>
      </w:hyperlink>
      <w:r>
        <w:rPr/>
        <w:t xml:space="preserve">, Co-author, with Lord Mance, of the first practitioner guide and textbook on the practice and procedure of the Judicial Committee of the Privy Council for 75 years. Published by Oxford University Press (2017)</w:t>
      </w:r>
    </w:p>
    <w:p>
      <w:pPr>
        <w:numPr>
          <w:ilvl w:val="0"/>
          <w:numId w:val="16"/>
        </w:numPr>
      </w:pPr>
      <w:r>
        <w:rPr>
          <w:i w:val="1"/>
          <w:iCs w:val="1"/>
        </w:rPr>
        <w:t xml:space="preserve">The Internet, Competition, Society &amp; Democracy,</w:t>
      </w:r>
      <w:r>
        <w:rPr/>
        <w:t xml:space="preserve"> Concurrences (with Ricardo Zimbron &amp; Maurits Dolmans) – winner of the Best Business Article Award, Antitrust Writing Awards (September 2017)</w:t>
      </w:r>
    </w:p>
    <w:p>
      <w:pPr>
        <w:numPr>
          <w:ilvl w:val="0"/>
          <w:numId w:val="16"/>
        </w:numPr>
      </w:pPr>
      <w:r>
        <w:rPr>
          <w:i w:val="1"/>
          <w:iCs w:val="1"/>
        </w:rPr>
        <w:t xml:space="preserve">We should regulate, not ban killer robots</w:t>
      </w:r>
      <w:r>
        <w:rPr/>
        <w:t xml:space="preserve">, The Spectator (August 2017)</w:t>
      </w:r>
    </w:p>
    <w:p>
      <w:pPr>
        <w:numPr>
          <w:ilvl w:val="0"/>
          <w:numId w:val="16"/>
        </w:numPr>
      </w:pPr>
      <w:r>
        <w:rPr>
          <w:i w:val="1"/>
          <w:iCs w:val="1"/>
        </w:rPr>
        <w:t xml:space="preserve">Remission of an award to a newly constituted tribunal </w:t>
      </w:r>
      <w:r>
        <w:rPr/>
        <w:t xml:space="preserve">(with Sebastian Lehman), Arbitration (August 2015)</w:t>
      </w:r>
    </w:p>
    <w:p>
      <w:pPr>
        <w:numPr>
          <w:ilvl w:val="0"/>
          <w:numId w:val="16"/>
        </w:numPr>
      </w:pPr>
      <w:r>
        <w:rPr>
          <w:i w:val="1"/>
          <w:iCs w:val="1"/>
        </w:rPr>
        <w:t xml:space="preserve">ICC – War by Other Means</w:t>
      </w:r>
      <w:r>
        <w:rPr/>
        <w:t xml:space="preserve">, Criminal Law and Justice Weekly (February 2015)</w:t>
      </w:r>
    </w:p>
    <w:p>
      <w:pPr>
        <w:numPr>
          <w:ilvl w:val="0"/>
          <w:numId w:val="16"/>
        </w:numPr>
      </w:pPr>
      <w:r>
        <w:rPr>
          <w:i w:val="1"/>
          <w:iCs w:val="1"/>
        </w:rPr>
        <w:t xml:space="preserve">Book Review: The Construction of Commercial Contracts</w:t>
      </w:r>
      <w:r>
        <w:rPr/>
        <w:t xml:space="preserve">, Lloyd’s Maritime and Commercial Law Quarterly (February 2014)</w:t>
      </w:r>
    </w:p>
    <w:p>
      <w:pPr>
        <w:numPr>
          <w:ilvl w:val="0"/>
          <w:numId w:val="16"/>
        </w:numPr>
      </w:pPr>
      <w:r>
        <w:rPr>
          <w:i w:val="1"/>
          <w:iCs w:val="1"/>
        </w:rPr>
        <w:t xml:space="preserve">Challenging the Bail-In</w:t>
      </w:r>
      <w:r>
        <w:rPr/>
        <w:t xml:space="preserve">, The Banking Law Journal (with Konrad Rodgers), Vol. 131, No.7 (July 2014)</w:t>
      </w:r>
    </w:p>
    <w:p>
      <w:pPr>
        <w:numPr>
          <w:ilvl w:val="0"/>
          <w:numId w:val="16"/>
        </w:numPr>
      </w:pPr>
      <w:r>
        <w:rPr>
          <w:i w:val="1"/>
          <w:iCs w:val="1"/>
        </w:rPr>
        <w:t xml:space="preserve">The UK’s new self-defence law opens the door for a Trayvon Martin case</w:t>
      </w:r>
      <w:r>
        <w:rPr/>
        <w:t xml:space="preserve">, New Statesman (July 2013)</w:t>
      </w:r>
    </w:p>
    <w:p>
      <w:pPr>
        <w:numPr>
          <w:ilvl w:val="0"/>
          <w:numId w:val="16"/>
        </w:numPr>
      </w:pPr>
      <w:r>
        <w:rPr>
          <w:i w:val="1"/>
          <w:iCs w:val="1"/>
        </w:rPr>
        <w:t xml:space="preserve">Return of the Literal Dead: an Unintended Consequence of Rainy Sky v Kookmin on Interpretation?</w:t>
      </w:r>
      <w:r>
        <w:rPr/>
        <w:t xml:space="preserve">, European Journal of Commercial Contract Law (July 2013)</w:t>
      </w:r>
    </w:p>
    <w:p>
      <w:pPr>
        <w:numPr>
          <w:ilvl w:val="0"/>
          <w:numId w:val="16"/>
        </w:numPr>
      </w:pPr>
      <w:r>
        <w:rPr>
          <w:i w:val="1"/>
          <w:iCs w:val="1"/>
        </w:rPr>
        <w:t xml:space="preserve">Do South African and English Criminal Law share a common purpose?</w:t>
      </w:r>
      <w:r>
        <w:rPr/>
        <w:t xml:space="preserve">, African Journal of International and Comparative Law (June 2013)</w:t>
      </w:r>
    </w:p>
    <w:p>
      <w:pPr>
        <w:numPr>
          <w:ilvl w:val="0"/>
          <w:numId w:val="16"/>
        </w:numPr>
      </w:pPr>
      <w:r>
        <w:rPr>
          <w:i w:val="1"/>
          <w:iCs w:val="1"/>
        </w:rPr>
        <w:t xml:space="preserve">Towards a Synthesis Between Islamic and Western Jus in Bello</w:t>
      </w:r>
      <w:r>
        <w:rPr/>
        <w:t xml:space="preserve">, Florida State University Journal of Transnational Law and Policy (September 2012)</w:t>
      </w:r>
    </w:p>
    <w:p>
      <w:pPr>
        <w:numPr>
          <w:ilvl w:val="0"/>
          <w:numId w:val="16"/>
        </w:numPr>
      </w:pPr>
      <w:r>
        <w:rPr>
          <w:i w:val="1"/>
          <w:iCs w:val="1"/>
        </w:rPr>
        <w:t xml:space="preserve">Revising the Emergency Provisions of Egypt’s Constitution</w:t>
      </w:r>
      <w:r>
        <w:rPr/>
        <w:t xml:space="preserve">, Harvard National Security Journal (February 2011)</w:t>
      </w:r>
    </w:p>
    <w:p/>
    <w:p>
      <w:pPr>
        <w:pStyle w:val="Heading2"/>
      </w:pPr>
      <w:bookmarkStart w:id="27" w:name="_Toc27"/>
      <w:r>
        <w:t>Languages</w:t>
      </w:r>
      <w:bookmarkEnd w:id="27"/>
    </w:p>
    <w:p>
      <w:pPr>
        <w:numPr>
          <w:ilvl w:val="0"/>
          <w:numId w:val="17"/>
        </w:numPr>
      </w:pPr>
      <w:r>
        <w:rPr/>
        <w:t xml:space="preserve">French (basic)</w:t>
      </w:r>
    </w:p>
    <w:p>
      <w:pPr>
        <w:numPr>
          <w:ilvl w:val="0"/>
          <w:numId w:val="17"/>
        </w:numPr>
      </w:pPr>
      <w:r>
        <w:rPr/>
        <w:t xml:space="preserve">Spanish (basic)</w:t>
      </w:r>
    </w:p>
    <w:p/>
    <w:p>
      <w:pPr>
        <w:pStyle w:val="Heading2"/>
      </w:pPr>
      <w:bookmarkStart w:id="28" w:name="_Toc28"/>
      <w:r>
        <w:t>Awards</w:t>
      </w:r>
      <w:bookmarkEnd w:id="28"/>
    </w:p>
    <w:p>
      <w:pPr/>
      <w:r>
        <w:pict>
          <v:shape type="#_x0000_t75" stroked="f" style="width:238pt; height:200pt; margin-left:0pt; margin-top:0pt; mso-position-horizontal:left; mso-position-vertical:top; mso-position-horizontal-relative:char; mso-position-vertical-relative:line;">
            <w10:wrap type="inline"/>
            <v:imagedata r:id="rId10" o:title=""/>
          </v:shape>
        </w:pict>
      </w:r>
    </w:p>
    <w:p>
      <w:pPr/>
      <w:r>
        <w:pict>
          <v:shape type="#_x0000_t75" stroked="f" style="width:163pt; height:180pt; margin-left:0pt; margin-top:0pt; mso-position-horizontal:left; mso-position-vertical:top; mso-position-horizontal-relative:char; mso-position-vertical-relative:line;">
            <w10:wrap type="inline"/>
            <v:imagedata r:id="rId11" o:title=""/>
          </v:shape>
        </w:pict>
      </w:r>
    </w:p>
    <w:sectPr>
      <w:headerReference w:type="default" r:id="rId12"/>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8EFC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1CE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14C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3A5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971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F9C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AF1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0DB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F40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5D1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BC8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weetandmaxwell.co.uk/Catalogue/ProductDetails.aspx?productid=42675054&amp;recordid=10359" TargetMode="External"/><Relationship Id="rId8" Type="http://schemas.openxmlformats.org/officeDocument/2006/relationships/hyperlink" Target="https://www.amazon.co.uk/Robot-Rules-Regulating-Artificial-Intelligence/dp/3319962345" TargetMode="External"/><Relationship Id="rId9" Type="http://schemas.openxmlformats.org/officeDocument/2006/relationships/hyperlink" Target="https://global.oup.com/academic/product/privy-council-practice-9780198798491?cc=gb&amp;lang=en&amp;" TargetMode="External"/><Relationship Id="rId10" Type="http://schemas.openxmlformats.org/officeDocument/2006/relationships/image" Target="media/section_image1.jpg"/><Relationship Id="rId11" Type="http://schemas.openxmlformats.org/officeDocument/2006/relationships/image" Target="media/section_image2.jpg"/><Relationship Id="rId1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2026-10-31T12:03:58+00:00</dcterms:created>
  <dcterms:modified xsi:type="dcterms:W3CDTF">2026-10-31T12:03:58+00:00</dcterms:modified>
</cp:coreProperties>
</file>

<file path=docProps/custom.xml><?xml version="1.0" encoding="utf-8"?>
<Properties xmlns="http://schemas.openxmlformats.org/officeDocument/2006/custom-properties" xmlns:vt="http://schemas.openxmlformats.org/officeDocument/2006/docPropsVTypes"/>
</file>