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Ian L. Benjamin SC</w:t>
      </w:r>
      <w:bookmarkEnd w:id="1"/>
    </w:p>
    <w:tbl>
      <w:tblGrid>
        <w:gridCol w:w="1500" w:type="dxa"/>
        <w:gridCol w:w="4500" w:type="dxa"/>
      </w:tblGrid>
      <w:tr>
        <w:trPr/>
        <w:tc>
          <w:tcPr>
            <w:tcW w:w="1500" w:type="dxa"/>
          </w:tcPr>
          <w:p>
            <w:pPr/>
            <w:r>
              <w:rPr>
                <w:b w:val="1"/>
                <w:bCs w:val="1"/>
              </w:rPr>
              <w:t xml:space="preserve">Extra List information</w:t>
            </w:r>
          </w:p>
        </w:tc>
        <w:tc>
          <w:tcPr>
            <w:tcW w:w="4500" w:type="dxa"/>
          </w:tcPr>
          <w:p>
            <w:pPr/>
            <w:r>
              <w:rPr/>
              <w:t xml:space="preserve">Jurisdiction: Trinidad &amp; Tobago</w:t>
            </w:r>
          </w:p>
        </w:tc>
      </w:tr>
      <w:tr>
        <w:trPr/>
        <w:tc>
          <w:tcPr>
            <w:tcW w:w="1500" w:type="dxa"/>
          </w:tcPr>
          <w:p>
            <w:pPr/>
            <w:r>
              <w:rPr>
                <w:b w:val="1"/>
                <w:bCs w:val="1"/>
              </w:rPr>
              <w:t xml:space="preserve">Email</w:t>
            </w:r>
          </w:p>
        </w:tc>
        <w:tc>
          <w:tcPr>
            <w:tcW w:w="4500" w:type="dxa"/>
          </w:tcPr>
          <w:p>
            <w:pPr/>
            <w:r>
              <w:rPr/>
              <w:t xml:space="preserve">clerks1@fountaincourt.co.uk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Ian L. Benjamin SC practises throughout the Caribbean region, principally in Trinidad and Tobago.</w:t>
      </w:r>
    </w:p>
    <w:p>
      <w:pPr/>
      <w:r>
        <w:rPr/>
        <w:t xml:space="preserve">Ian was one of the founders of and is now the head of Bethany Chambers in Port of Spain, Trinidad. He is also admitted to practice in Dominica, Grenada and Anguilla.</w:t>
      </w:r>
    </w:p>
    <w:p>
      <w:pPr/>
      <w:r>
        <w:rPr/>
        <w:t xml:space="preserve">Ian practises primarily in the broad commercial areas of banking, financial regulation, insolvency, insurance, professional negligence and contentious pension and tax and construction disputes. In addition, he undertakes significant public law work including Commissions of Enquiry. He is well-regarded for his strategic advice and advocacy, particularly in appellate work and has made several appearances before the Privy Council. He is a member of the Chartered Institute of Arbitrators and is a CEDR Mediator. He also accepts appointments as an arbitrator and has appeared in several ICC and ad hoc arbitrations.</w:t>
      </w:r>
    </w:p>
    <w:p>
      <w:pPr/>
      <w:r>
        <w:rPr/>
        <w:t xml:space="preserve">For further information about the scope of Ian’s work at Fountain Court Chambers, please contact </w:t>
      </w:r>
      <w:hyperlink r:id="rId7" w:history="1">
        <w:r>
          <w:rPr/>
          <w:t xml:space="preserve">Alex Taylor</w:t>
        </w:r>
      </w:hyperlink>
      <w:r>
        <w:rPr/>
        <w:t xml:space="preserve">.</w:t>
      </w:r>
    </w:p>
    <w:p/>
    <w:p>
      <w:pPr>
        <w:pStyle w:val="Heading2"/>
      </w:pPr>
      <w:bookmarkStart w:id="3" w:name="_Toc3"/>
      <w:r>
        <w:t>Recent Highlights</w:t>
      </w:r>
      <w:bookmarkEnd w:id="3"/>
    </w:p>
    <w:p>
      <w:pPr/>
      <w:r>
        <w:rPr/>
        <w:t xml:space="preserve">Commission of Enquiry chaired by Sir Anthony Colman (2011-2013) into the failure of Colonial Life Insurance Company (Trinidad) Ltd &amp; Other entities in the CL Financial Group and multiple ongoing commercial litigation matters arising therefrom, acting on behalf of Central Bank of Trinidad &amp; Tobago.</w:t>
      </w:r>
    </w:p>
    <w:p/>
    <w:p>
      <w:pPr/>
      <w:hyperlink r:id="rId8" w:history="1">
        <w:r>
          <w:rPr>
            <w:b w:val="1"/>
            <w:bCs w:val="1"/>
          </w:rPr>
          <w:t xml:space="preserve">Trinidad &amp; Tobago Securities and Exchange Commission v Hassan Philip Rahaman</w:t>
        </w:r>
      </w:hyperlink>
    </w:p>
    <w:p>
      <w:pPr/>
      <w:r>
        <w:rPr/>
        <w:t xml:space="preserve">Acting for the Securities &amp; Exchange Commission in enforcement proceedings arising out of an IPO.</w:t>
      </w:r>
    </w:p>
    <w:p/>
    <w:p>
      <w:pPr/>
      <w:hyperlink r:id="rId9" w:history="1">
        <w:r>
          <w:rPr>
            <w:b w:val="1"/>
            <w:bCs w:val="1"/>
          </w:rPr>
          <w:t xml:space="preserve">Law Association of Trinidad &amp; Tobago v Dr Keith Rowley, Prime Minister, and the Attorney-General and the Chief Justice and: The Hon. Chief Justice of Trinidad &amp; Tobago v The Law Association of Trinidad &amp; Tobago [2018] UKPC 23</w:t>
        </w:r>
      </w:hyperlink>
    </w:p>
    <w:p>
      <w:pPr/>
      <w:r>
        <w:rPr/>
        <w:t xml:space="preserve">Acting for the Chief Justice in a public law challenge to the Prime Minister’s decision not to impeach.</w:t>
      </w:r>
    </w:p>
    <w:p/>
    <w:p>
      <w:pPr/>
      <w:r>
        <w:rPr/>
        <w:t xml:space="preserve">In the matter of CL Financial Ltd and of joint liquidators, acting for CLICO in establishing claim in trust.</w:t>
      </w:r>
    </w:p>
    <w:p/>
    <w:p>
      <w:pPr/>
      <w:hyperlink r:id="rId10" w:history="1">
        <w:r>
          <w:rPr>
            <w:b w:val="1"/>
            <w:bCs w:val="1"/>
          </w:rPr>
          <w:t xml:space="preserve">National Gas Company of Trinidad &amp; Tobago Ltd v C Kelshall, Liquidator of Arcelor Mittal Point Lisas Limited</w:t>
        </w:r>
      </w:hyperlink>
    </w:p>
    <w:p>
      <w:pPr/>
      <w:r>
        <w:rPr/>
        <w:t xml:space="preserve">Acting for NGC in a claim against the liquidator to determine the court’s power and jurisdiction to review liquidator’s decisions.</w:t>
      </w:r>
    </w:p>
    <w:p/>
    <w:p>
      <w:pPr>
        <w:pStyle w:val="Heading2"/>
      </w:pPr>
      <w:bookmarkStart w:id="4" w:name="_Toc4"/>
      <w:r>
        <w:t>Expertise</w:t>
      </w:r>
      <w:bookmarkEnd w:id="4"/>
    </w:p>
    <w:p/>
    <w:p>
      <w:pPr>
        <w:pStyle w:val="Heading3"/>
      </w:pPr>
      <w:bookmarkStart w:id="5" w:name="_Toc5"/>
      <w:r>
        <w:t>Administrative &amp; Public Law</w:t>
      </w:r>
      <w:bookmarkEnd w:id="5"/>
    </w:p>
    <w:p/>
    <w:p>
      <w:bookmarkStart w:id="6" w:name="_Toc6"/>
      <w:r>
        <w:t>Reported cases</w:t>
      </w:r>
      <w:bookmarkEnd w:id="6"/>
    </w:p>
    <w:p>
      <w:pPr/>
      <w:r>
        <w:rPr>
          <w:b w:val="1"/>
          <w:bCs w:val="1"/>
        </w:rPr>
        <w:t xml:space="preserve">The Attorney General of Trinidad and Tobago and (2) The Director of Public Prosecutions v Lennox Phillip also called Yasin Abu Bakr and 113 Others Co (Trinidad and Tobago) [1994] UKPC 33</w:t>
      </w:r>
    </w:p>
    <w:p>
      <w:pPr/>
      <w:r>
        <w:rPr/>
        <w:t xml:space="preserve">Acting for the Attorney-General to argue validity of pardon granted after attempted coup.</w:t>
      </w:r>
    </w:p>
    <w:p/>
    <w:p>
      <w:pPr/>
      <w:r>
        <w:rPr>
          <w:b w:val="1"/>
          <w:bCs w:val="1"/>
        </w:rPr>
        <w:t xml:space="preserve">Sharma v Deputy Director of Public Prosecutions &amp; Ors (Trinidad and Tobago) [2006] UKPC 57</w:t>
      </w:r>
    </w:p>
    <w:p>
      <w:pPr/>
      <w:r>
        <w:rPr/>
        <w:t xml:space="preserve">Acting for the Government to ascertain whether decision to charge Chief Justice with perverting course of justice should be made by judicial review or through criminal process</w:t>
      </w:r>
    </w:p>
    <w:p/>
    <w:p>
      <w:pPr/>
      <w:r>
        <w:rPr>
          <w:b w:val="1"/>
          <w:bCs w:val="1"/>
        </w:rPr>
        <w:t xml:space="preserve">Sherman McNicholls v Judicial and Legal Service Commission (Trinidad and Tobago) [2010] UKPC 6</w:t>
      </w:r>
    </w:p>
    <w:p>
      <w:pPr/>
      <w:r>
        <w:rPr/>
        <w:t xml:space="preserve">Acting for Chief Magistrate seeking judicial review of Judicial and Legal Service Commission decision to prefer disciplinary charges.</w:t>
      </w:r>
    </w:p>
    <w:p/>
    <w:p>
      <w:pPr/>
      <w:r>
        <w:rPr>
          <w:b w:val="1"/>
          <w:bCs w:val="1"/>
        </w:rPr>
        <w:t xml:space="preserve">Fishermen and Friends of the Sea -v- Environmental Management Authority and others [2018] UKPC 24</w:t>
      </w:r>
    </w:p>
    <w:p>
      <w:pPr/>
      <w:r>
        <w:rPr/>
        <w:t xml:space="preserve">Acting for Environmental Management Authority in resisting claim for extending time for leave to apply for judicial review.</w:t>
      </w:r>
    </w:p>
    <w:p/>
    <w:p>
      <w:pPr/>
      <w:r>
        <w:rPr>
          <w:b w:val="1"/>
          <w:bCs w:val="1"/>
        </w:rPr>
        <w:t xml:space="preserve">Ferguson, Maritime Life (Caribbean) Ltd &amp; Ors v The Attorney General of Trinidad and Tobago (Trinidad and Tobago) [2016] UKPC 2</w:t>
      </w:r>
    </w:p>
    <w:p>
      <w:pPr/>
      <w:r>
        <w:rPr/>
        <w:t xml:space="preserve">Acting for Director of Public Prosecutions in judicial review proceedings to determine validity and effect of retrospective repeal of legislation to introduce statutory limitation for criminal prosecutions.</w:t>
      </w:r>
    </w:p>
    <w:p/>
    <w:p>
      <w:pPr>
        <w:pStyle w:val="Heading4"/>
      </w:pPr>
      <w:bookmarkStart w:id="7" w:name="_Toc7"/>
      <w:r>
        <w:t>Notable cases</w:t>
      </w:r>
      <w:bookmarkEnd w:id="7"/>
    </w:p>
    <w:p>
      <w:pPr/>
      <w:r>
        <w:rPr/>
        <w:t xml:space="preserve">Acting for the Judicial and Legal Service Commission in respect of High Court judge challenge to revocation of appointment.</w:t>
      </w:r>
    </w:p>
    <w:p/>
    <w:p>
      <w:pPr>
        <w:pStyle w:val="Heading3"/>
      </w:pPr>
      <w:bookmarkStart w:id="8" w:name="_Toc8"/>
      <w:r>
        <w:t>Banking &amp; Finance</w:t>
      </w:r>
      <w:bookmarkEnd w:id="8"/>
    </w:p>
    <w:p/>
    <w:p>
      <w:bookmarkStart w:id="9" w:name="_Toc9"/>
      <w:r>
        <w:t>Reported cases</w:t>
      </w:r>
      <w:bookmarkEnd w:id="9"/>
    </w:p>
    <w:p>
      <w:pPr/>
      <w:r>
        <w:rPr>
          <w:b w:val="1"/>
          <w:bCs w:val="1"/>
        </w:rPr>
        <w:t xml:space="preserve">Deslauriers and another v Guardian Asset Management Limited [2017] UKPC 34</w:t>
      </w:r>
    </w:p>
    <w:p>
      <w:pPr/>
      <w:r>
        <w:rPr/>
        <w:t xml:space="preserve">Acting for property development company resisting liability to repay principal loan and enforcement by order of sale.</w:t>
      </w:r>
    </w:p>
    <w:p/>
    <w:p>
      <w:pPr>
        <w:pStyle w:val="Heading3"/>
      </w:pPr>
      <w:bookmarkStart w:id="10" w:name="_Toc10"/>
      <w:r>
        <w:t>Commercial Disputes</w:t>
      </w:r>
      <w:bookmarkEnd w:id="10"/>
    </w:p>
    <w:p/>
    <w:p>
      <w:bookmarkStart w:id="11" w:name="_Toc11"/>
      <w:r>
        <w:t>Reported cases</w:t>
      </w:r>
      <w:bookmarkEnd w:id="11"/>
    </w:p>
    <w:p>
      <w:pPr/>
      <w:r>
        <w:rPr>
          <w:b w:val="1"/>
          <w:bCs w:val="1"/>
        </w:rPr>
        <w:t xml:space="preserve">Mohammed v Gomez &amp; Ors [2019] UKPC 46</w:t>
      </w:r>
    </w:p>
    <w:p>
      <w:pPr/>
      <w:r>
        <w:rPr/>
        <w:t xml:space="preserve">Acting for the appellant in challenging decision that the respondents were entitled to equitable interests in the homes built and maintained by them on appellant’s property during the ownership of his predecessors.</w:t>
      </w:r>
    </w:p>
    <w:p/>
    <w:p>
      <w:pPr/>
      <w:hyperlink r:id="rId11" w:history="1">
        <w:r>
          <w:rPr>
            <w:b w:val="1"/>
            <w:bCs w:val="1"/>
          </w:rPr>
          <w:t xml:space="preserve">L’Anse Fourmi Trust Holding Co Ltd v Anse Fourmi Beach and Rainforest Resort Ltd and ors</w:t>
        </w:r>
      </w:hyperlink>
    </w:p>
    <w:p>
      <w:pPr/>
      <w:r>
        <w:rPr/>
        <w:t xml:space="preserve">Successfully acting for property development company re dispute to title for proposed hotel and condominium development.</w:t>
      </w:r>
    </w:p>
    <w:p/>
    <w:p>
      <w:pPr>
        <w:pStyle w:val="Heading3"/>
      </w:pPr>
      <w:bookmarkStart w:id="12" w:name="_Toc12"/>
      <w:r>
        <w:t>Financial Services</w:t>
      </w:r>
      <w:bookmarkEnd w:id="12"/>
    </w:p>
    <w:p/>
    <w:p>
      <w:pPr>
        <w:pStyle w:val="Heading4"/>
      </w:pPr>
      <w:bookmarkStart w:id="13" w:name="_Toc13"/>
      <w:r>
        <w:t>Notable cases</w:t>
      </w:r>
      <w:bookmarkEnd w:id="13"/>
    </w:p>
    <w:p>
      <w:pPr/>
      <w:r>
        <w:rPr/>
        <w:t xml:space="preserve">Advising a Big Four accountancy firm in respect of potential libel and regulatory action.</w:t>
      </w:r>
    </w:p>
    <w:p/>
    <w:p>
      <w:pPr>
        <w:pStyle w:val="Heading3"/>
      </w:pPr>
      <w:bookmarkStart w:id="14" w:name="_Toc14"/>
      <w:r>
        <w:t>Insurance &amp;amp; Reinsurance</w:t>
      </w:r>
      <w:bookmarkEnd w:id="14"/>
    </w:p>
    <w:p/>
    <w:p>
      <w:bookmarkStart w:id="15" w:name="_Toc15"/>
      <w:r>
        <w:t>Reported cases</w:t>
      </w:r>
      <w:bookmarkEnd w:id="15"/>
    </w:p>
    <w:p>
      <w:pPr/>
      <w:r>
        <w:rPr>
          <w:b w:val="1"/>
          <w:bCs w:val="1"/>
        </w:rPr>
        <w:t xml:space="preserve">Super Chem Products Ltd v American Life and General Insurance Co Ltd &amp; Ors (Trinidad and Tobago) [2004] UKPC 2</w:t>
      </w:r>
    </w:p>
    <w:p>
      <w:pPr/>
      <w:r>
        <w:rPr/>
        <w:t xml:space="preserve">Successfully acting for insurers in repudiating liability for insurance cover.</w:t>
      </w:r>
    </w:p>
    <w:p/>
    <w:p>
      <w:pPr>
        <w:pStyle w:val="Heading3"/>
      </w:pPr>
      <w:bookmarkStart w:id="16" w:name="_Toc16"/>
      <w:r>
        <w:t>Media &amp; Entertainment</w:t>
      </w:r>
      <w:bookmarkEnd w:id="16"/>
    </w:p>
    <w:p/>
    <w:p>
      <w:bookmarkStart w:id="17" w:name="_Toc17"/>
      <w:r>
        <w:t>Reported cases</w:t>
      </w:r>
      <w:bookmarkEnd w:id="17"/>
    </w:p>
    <w:p>
      <w:pPr/>
      <w:r>
        <w:rPr>
          <w:b w:val="1"/>
          <w:bCs w:val="1"/>
        </w:rPr>
        <w:t xml:space="preserve">Independent Publishing Company Ltd v Attorney General of Trinidad and Tobago &amp; Anor (Trinidad and Tobago) [2004] UKPC 26</w:t>
      </w:r>
    </w:p>
    <w:p>
      <w:pPr/>
      <w:r>
        <w:rPr/>
        <w:t xml:space="preserve">Acting for newspaper in contempt of court proceedings.</w:t>
      </w:r>
    </w:p>
    <w:p/>
    <w:p>
      <w:pPr>
        <w:pStyle w:val="Heading3"/>
      </w:pPr>
      <w:bookmarkStart w:id="18" w:name="_Toc18"/>
      <w:r>
        <w:t>Professional Negligence</w:t>
      </w:r>
      <w:bookmarkEnd w:id="18"/>
    </w:p>
    <w:p/>
    <w:p>
      <w:bookmarkStart w:id="19" w:name="_Toc19"/>
      <w:r>
        <w:t>Reported cases</w:t>
      </w:r>
      <w:bookmarkEnd w:id="19"/>
    </w:p>
    <w:p>
      <w:pPr/>
      <w:r>
        <w:rPr>
          <w:b w:val="1"/>
          <w:bCs w:val="1"/>
        </w:rPr>
        <w:t xml:space="preserve">Petroleum Company of Trinidad and Tobago Ltd v Ryan &amp; Anor (Trinidad and Tobago) [2017] UKPC 30</w:t>
      </w:r>
    </w:p>
    <w:p>
      <w:pPr/>
      <w:r>
        <w:rPr/>
        <w:t xml:space="preserve">Acting for respondents regarding a claim for damages for lung disease and whether or not caused by oil fumes emanating from appellant company.</w:t>
      </w:r>
    </w:p>
    <w:p/>
    <w:p>
      <w:pPr>
        <w:pStyle w:val="Heading4"/>
      </w:pPr>
      <w:bookmarkStart w:id="20" w:name="_Toc20"/>
      <w:r>
        <w:t>Notable cases</w:t>
      </w:r>
      <w:bookmarkEnd w:id="20"/>
    </w:p>
    <w:p>
      <w:pPr/>
      <w:r>
        <w:rPr/>
        <w:t xml:space="preserve">Acting for private hospital medical negligence claim where damages of TT$40 million claimed.</w:t>
      </w:r>
    </w:p>
    <w:p/>
    <w:p>
      <w:pPr>
        <w:pStyle w:val="Heading3"/>
      </w:pPr>
      <w:bookmarkStart w:id="21" w:name="_Toc21"/>
      <w:r>
        <w:t>Tax</w:t>
      </w:r>
      <w:bookmarkEnd w:id="21"/>
    </w:p>
    <w:p/>
    <w:p>
      <w:pPr>
        <w:pStyle w:val="Heading4"/>
      </w:pPr>
      <w:bookmarkStart w:id="22" w:name="_Toc22"/>
      <w:r>
        <w:t>Notable cases</w:t>
      </w:r>
      <w:bookmarkEnd w:id="22"/>
    </w:p>
    <w:p>
      <w:pPr/>
      <w:hyperlink r:id="rId12" w:history="1">
        <w:r>
          <w:rPr>
            <w:b w:val="1"/>
            <w:bCs w:val="1"/>
          </w:rPr>
          <w:t xml:space="preserve">TT oil company - tax liability</w:t>
        </w:r>
      </w:hyperlink>
    </w:p>
    <w:p>
      <w:pPr/>
      <w:r>
        <w:rPr/>
        <w:t xml:space="preserve">Acting successfully for a TT oil company in respect of indemnity for tax liability.</w:t>
      </w:r>
    </w:p>
    <w:p/>
    <w:p>
      <w:pPr/>
      <w:r>
        <w:rPr/>
        <w:t xml:space="preserve">Acting successfully for a TT energy company in tax dispute before the Tax Appeal Board.</w:t>
      </w:r>
    </w:p>
    <w:p/>
    <w:p>
      <w:pPr>
        <w:pStyle w:val="Heading2"/>
      </w:pPr>
      <w:bookmarkStart w:id="23" w:name="_Toc23"/>
      <w:r>
        <w:t>Directory Quotes</w:t>
      </w:r>
      <w:bookmarkEnd w:id="23"/>
    </w:p>
    <w:p>
      <w:pPr/>
      <w:r>
        <w:rPr>
          <w:i w:val="1"/>
          <w:iCs w:val="1"/>
        </w:rPr>
        <w:t xml:space="preserve">"Covers a broad range of work, including financial services regulatory, insolvency, insurance and tax disputes. He is a well-known figure in Trinidadian advocacy and is respected for his abilities in court."</w:t>
      </w:r>
    </w:p>
    <w:p>
      <w:pPr/>
      <w:r>
        <w:rPr/>
        <w:t xml:space="preserve">Chambers &amp; Partners</w:t>
      </w:r>
    </w:p>
    <w:p/>
    <w:p>
      <w:pPr/>
      <w:r>
        <w:rPr>
          <w:i w:val="1"/>
          <w:iCs w:val="1"/>
        </w:rPr>
        <w:t xml:space="preserve">"He's got an amazing advocacy style. He is the master of his brief and is extremely dynamic."</w:t>
      </w:r>
    </w:p>
    <w:p>
      <w:pPr/>
      <w:r>
        <w:rPr/>
        <w:t xml:space="preserve">Chambers &amp; Partners</w:t>
      </w:r>
    </w:p>
    <w:p/>
    <w:p/>
    <w:p>
      <w:pPr>
        <w:pStyle w:val="Heading2"/>
      </w:pPr>
      <w:bookmarkStart w:id="24" w:name="_Toc24"/>
      <w:r>
        <w:t>Directory Rankings</w:t>
      </w:r>
      <w:bookmarkEnd w:id="24"/>
    </w:p>
    <w:p>
      <w:pPr>
        <w:pStyle w:val="Heading5"/>
      </w:pPr>
      <w:r>
        <w:rPr/>
        <w:t xml:space="preserve">Chambers &amp; Partners – Global</w:t>
      </w:r>
    </w:p>
    <w:p>
      <w:pPr>
        <w:numPr>
          <w:ilvl w:val="0"/>
          <w:numId w:val="7"/>
        </w:numPr>
      </w:pPr>
      <w:r>
        <w:rPr/>
        <w:t xml:space="preserve">General Business Law: Advocates – Trinidad &amp; Tobago</w:t>
      </w:r>
    </w:p>
    <w:p/>
    <w:p>
      <w:pPr>
        <w:pStyle w:val="Heading2"/>
      </w:pPr>
      <w:bookmarkStart w:id="25" w:name="_Toc25"/>
      <w:r>
        <w:t>Education</w:t>
      </w:r>
      <w:bookmarkEnd w:id="25"/>
    </w:p>
    <w:p>
      <w:pPr>
        <w:numPr>
          <w:ilvl w:val="0"/>
          <w:numId w:val="8"/>
        </w:numPr>
      </w:pPr>
      <w:r>
        <w:rPr/>
        <w:t xml:space="preserve">LLM, University of Sydney (2002)</w:t>
      </w:r>
    </w:p>
    <w:p>
      <w:pPr>
        <w:numPr>
          <w:ilvl w:val="0"/>
          <w:numId w:val="8"/>
        </w:numPr>
      </w:pPr>
      <w:r>
        <w:rPr/>
        <w:t xml:space="preserve">LLM, Cantab (1987)</w:t>
      </w:r>
    </w:p>
    <w:p>
      <w:pPr>
        <w:numPr>
          <w:ilvl w:val="0"/>
          <w:numId w:val="8"/>
        </w:numPr>
      </w:pPr>
      <w:r>
        <w:rPr/>
        <w:t xml:space="preserve">BA, Cantab (1986)</w:t>
      </w:r>
    </w:p>
    <w:p/>
    <w:p>
      <w:pPr>
        <w:pStyle w:val="Heading2"/>
      </w:pPr>
      <w:bookmarkStart w:id="26" w:name="_Toc26"/>
      <w:r>
        <w:t>International Bar / Court Appointments</w:t>
      </w:r>
      <w:bookmarkEnd w:id="26"/>
    </w:p>
    <w:p>
      <w:pPr>
        <w:numPr>
          <w:ilvl w:val="0"/>
          <w:numId w:val="9"/>
        </w:numPr>
      </w:pPr>
      <w:r>
        <w:rPr/>
        <w:t xml:space="preserve">Called to Bar Anguilla (2016​)</w:t>
      </w:r>
    </w:p>
    <w:p>
      <w:pPr>
        <w:numPr>
          <w:ilvl w:val="0"/>
          <w:numId w:val="9"/>
        </w:numPr>
      </w:pPr>
      <w:r>
        <w:rPr/>
        <w:t xml:space="preserve">Called to Bar Grenada (2013)</w:t>
      </w:r>
    </w:p>
    <w:p>
      <w:pPr>
        <w:numPr>
          <w:ilvl w:val="0"/>
          <w:numId w:val="9"/>
        </w:numPr>
      </w:pPr>
      <w:r>
        <w:rPr/>
        <w:t xml:space="preserve">Called to Bar Dominica (2008)</w:t>
      </w:r>
    </w:p>
    <w:p>
      <w:pPr>
        <w:numPr>
          <w:ilvl w:val="0"/>
          <w:numId w:val="9"/>
        </w:numPr>
      </w:pPr>
      <w:r>
        <w:rPr/>
        <w:t xml:space="preserve">Called to Bar Trinidad &amp; Tobago (1989)</w:t>
      </w:r>
    </w:p>
    <w:p>
      <w:pPr>
        <w:numPr>
          <w:ilvl w:val="0"/>
          <w:numId w:val="9"/>
        </w:numPr>
      </w:pPr>
      <w:r>
        <w:rPr/>
        <w:t xml:space="preserve">Called to Bar England &amp; Wales (1988)</w:t>
      </w:r>
    </w:p>
    <w:p/>
    <w:p>
      <w:pPr>
        <w:pStyle w:val="Heading2"/>
      </w:pPr>
      <w:bookmarkStart w:id="27" w:name="_Toc27"/>
      <w:r>
        <w:t>Appointments, Memberships and Prizes</w:t>
      </w:r>
      <w:bookmarkEnd w:id="27"/>
    </w:p>
    <w:p>
      <w:pPr>
        <w:numPr>
          <w:ilvl w:val="0"/>
          <w:numId w:val="10"/>
        </w:numPr>
      </w:pPr>
      <w:r>
        <w:rPr/>
        <w:t xml:space="preserve">CEDR Trained Mediator (2011)</w:t>
      </w:r>
    </w:p>
    <w:p>
      <w:pPr>
        <w:numPr>
          <w:ilvl w:val="0"/>
          <w:numId w:val="10"/>
        </w:numPr>
      </w:pPr>
      <w:r>
        <w:rPr/>
        <w:t xml:space="preserve">CIArb Member (2017)</w:t>
      </w:r>
    </w:p>
    <w:p>
      <w:pPr>
        <w:numPr>
          <w:ilvl w:val="0"/>
          <w:numId w:val="10"/>
        </w:numPr>
      </w:pPr>
      <w:r>
        <w:rPr/>
        <w:t xml:space="preserve">Honourable Society of Middle Temple</w:t>
      </w:r>
    </w:p>
    <w:p>
      <w:pPr>
        <w:numPr>
          <w:ilvl w:val="0"/>
          <w:numId w:val="10"/>
        </w:numPr>
      </w:pPr>
      <w:r>
        <w:rPr/>
        <w:t xml:space="preserve">University of Sydney Law Faculty Graduates Medal for Most Outstanding Masters’ Thesis (2003)</w:t>
      </w:r>
    </w:p>
    <w:p>
      <w:pPr>
        <w:numPr>
          <w:ilvl w:val="0"/>
          <w:numId w:val="10"/>
        </w:numPr>
      </w:pPr>
      <w:r>
        <w:rPr/>
        <w:t xml:space="preserve">International Postgraduate Research Scholarship, University of Sydney, Australia (2000-2002)</w:t>
      </w:r>
    </w:p>
    <w:p>
      <w:pPr>
        <w:numPr>
          <w:ilvl w:val="0"/>
          <w:numId w:val="10"/>
        </w:numPr>
      </w:pPr>
      <w:r>
        <w:rPr/>
        <w:t xml:space="preserve">Middle Temple Harmsworth Scholarship, London, England (1988-1990)</w:t>
      </w:r>
    </w:p>
    <w:p>
      <w:pPr>
        <w:numPr>
          <w:ilvl w:val="0"/>
          <w:numId w:val="10"/>
        </w:numPr>
      </w:pPr>
      <w:r>
        <w:rPr/>
        <w:t xml:space="preserve">Cambridge Commonwealth Trust Scholarship, England (1987)</w:t>
      </w:r>
    </w:p>
    <w:p>
      <w:pPr>
        <w:numPr>
          <w:ilvl w:val="0"/>
          <w:numId w:val="10"/>
        </w:numPr>
      </w:pPr>
      <w:r>
        <w:rPr/>
        <w:t xml:space="preserve">Wright Rogers Scholarship in Law, University of Cambridge (1984, 1985 &amp; 1987)</w:t>
      </w:r>
    </w:p>
    <w:sectPr>
      <w:headerReference w:type="default" r:id="rId13"/>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8822C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9D6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057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92D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untaincourt.uk/clerks-and-marketing/alex-taylor/" TargetMode="External"/><Relationship Id="rId8" Type="http://schemas.openxmlformats.org/officeDocument/2006/relationships/hyperlink" Target="https://www.ttsec.org.tt/wp-content/uploads/Settlement-Agreement-Hassan-Phillip-Rahaman.pdf" TargetMode="External"/><Relationship Id="rId9" Type="http://schemas.openxmlformats.org/officeDocument/2006/relationships/hyperlink" Target="http://webopac.ttlawcourts.org/LibraryJud/Judgments/HC/kokaram/2019/cv_19_03989DD30oct2019.pdf" TargetMode="External"/><Relationship Id="rId10" Type="http://schemas.openxmlformats.org/officeDocument/2006/relationships/hyperlink" Target="http://webopac.ttlawcourts.org/LibraryJud/Judgments/HC/boodoosingh/2017/cv_17_03546DD01nov2018.pdf" TargetMode="External"/><Relationship Id="rId11" Type="http://schemas.openxmlformats.org/officeDocument/2006/relationships/hyperlink" Target="http://webopac.ttlawcourts.org/LibraryJud/Judgments/coa/2014/rajkumar/CvA_14_T63DD18sep2018.pdf" TargetMode="External"/><Relationship Id="rId12" Type="http://schemas.openxmlformats.org/officeDocument/2006/relationships/hyperlink" Target="http://webopac.ttlawcourts.org/LibraryJud/Judgments/HC/charles/2016/cv_16_02182DD23may2019.pdf" TargetMode="External"/><Relationship Id="rId13"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2026-11-02T14:56:32+00:00</dcterms:created>
  <dcterms:modified xsi:type="dcterms:W3CDTF">2026-11-02T14:56:32+00:00</dcterms:modified>
</cp:coreProperties>
</file>

<file path=docProps/custom.xml><?xml version="1.0" encoding="utf-8"?>
<Properties xmlns="http://schemas.openxmlformats.org/officeDocument/2006/custom-properties" xmlns:vt="http://schemas.openxmlformats.org/officeDocument/2006/docPropsVTypes"/>
</file>