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David R Wingfield</w:t>
      </w:r>
      <w:bookmarkEnd w:id="1"/>
    </w:p>
    <w:tbl>
      <w:tblGrid>
        <w:gridCol w:w="1500" w:type="dxa"/>
        <w:gridCol w:w="4500" w:type="dxa"/>
      </w:tblGrid>
      <w:tr>
        <w:trPr/>
        <w:tc>
          <w:tcPr>
            <w:tcW w:w="1500" w:type="dxa"/>
          </w:tcPr>
          <w:p>
            <w:pPr/>
            <w:r>
              <w:rPr>
                <w:b w:val="1"/>
                <w:bCs w:val="1"/>
              </w:rPr>
              <w:t xml:space="preserve">Extra List information</w:t>
            </w:r>
          </w:p>
        </w:tc>
        <w:tc>
          <w:tcPr>
            <w:tcW w:w="4500" w:type="dxa"/>
          </w:tcPr>
          <w:p>
            <w:pPr/>
            <w:r>
              <w:rPr/>
              <w:t xml:space="preserve">Jurisdiction: Canada</w:t>
            </w:r>
          </w:p>
        </w:tc>
      </w:tr>
      <w:tr>
        <w:trPr/>
        <w:tc>
          <w:tcPr>
            <w:tcW w:w="1500" w:type="dxa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tcW w:w="4500" w:type="dxa"/>
          </w:tcPr>
          <w:p>
            <w:pPr/>
            <w:r>
              <w:rPr/>
              <w:t xml:space="preserve">drw@fountaincourt.co.uk</w:t>
            </w:r>
          </w:p>
        </w:tc>
      </w:tr>
      <w:tr>
        <w:trPr/>
        <w:tc>
          <w:tcPr>
            <w:tcW w:w="1500" w:type="dxa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tcW w:w="4500" w:type="dxa"/>
          </w:tcPr>
          <w:p>
            <w:pPr/>
            <w:r>
              <w:rPr/>
              <w:t xml:space="preserve">+44 (0)20 7583 3335</w:t>
            </w:r>
          </w:p>
        </w:tc>
      </w:tr>
    </w:tbl>
    <w:p/>
    <w:p>
      <w:pPr>
        <w:pStyle w:val="Heading2"/>
      </w:pPr>
      <w:bookmarkStart w:id="2" w:name="_Toc2"/>
      <w:r>
        <w:t>Overview</w:t>
      </w:r>
      <w:bookmarkEnd w:id="2"/>
    </w:p>
    <w:p>
      <w:pPr/>
      <w:r>
        <w:rPr/>
        <w:t xml:space="preserve">David Wingfield combines his deep knowledge of antitrust economics with a comprehensive understanding of UK/EU, American, and Canadian competition laws to provide sophisticated advice and peerless representation.</w:t>
      </w:r>
    </w:p>
    <w:p>
      <w:pPr/>
      <w:r>
        <w:rPr/>
        <w:t xml:space="preserve">He is equally at home developing stand-alone competition cases, follow-on damage claims, or acting for defendants challenging the economic or legal foundations of competition claims.</w:t>
      </w:r>
    </w:p>
    <w:p>
      <w:pPr/>
      <w:r>
        <w:rPr/>
        <w:t xml:space="preserve">As the former head of the antitrust division of the Canadian Department of Justice, he was responsible for developing cutting-edge enforcement strategies for competition infringements, particularly in the digital economy and associated platforms. These proceedings frequently involved extensive collaboration with competition authorities in various jurisdictions, including the United States.</w:t>
      </w:r>
    </w:p>
    <w:p>
      <w:pPr/>
      <w:r>
        <w:rPr/>
        <w:t xml:space="preserve">As one of the few former heads of a G7 antitrust division who has an active litigation practice in competition law – both in the UK and internationally – David occupies a unique position at the Bar. He has acted for governments and advised prime ministers and currently serves as a Non-Governmental Adviser to the International Competition Network, an organisation of over 100 competition agencies from around the world that addresses competition law enforcement and policy issues.</w:t>
      </w:r>
    </w:p>
    <w:p>
      <w:pPr/>
      <w:r>
        <w:rPr/>
        <w:t xml:space="preserve">David Wingfield is called to Bar at the Middle Temple, is an attorney of New York State, and is a barrister and solicitor of Ontario, Canada. He is a Senior Fellow of the Litigation Counsel of America.</w:t>
      </w:r>
    </w:p>
    <w:p/>
    <w:p>
      <w:pPr>
        <w:pStyle w:val="Heading2"/>
      </w:pPr>
      <w:bookmarkStart w:id="3" w:name="_Toc3"/>
      <w:r>
        <w:t>Recent Highlights</w:t>
      </w:r>
      <w:bookmarkEnd w:id="3"/>
    </w:p>
    <w:p>
      <w:pPr/>
      <w:r>
        <w:rPr>
          <w:b w:val="1"/>
          <w:bCs w:val="1"/>
        </w:rPr>
        <w:t xml:space="preserve">Dune Group Limited &amp; Others v Visa &amp; Mastercard</w:t>
      </w:r>
    </w:p>
    <w:p>
      <w:pPr/>
      <w:r>
        <w:rPr/>
        <w:t xml:space="preserve">Acting for Dune and others in the substantial competition claims relating to interchange fees.</w:t>
      </w:r>
    </w:p>
    <w:p/>
    <w:p>
      <w:pPr/>
      <w:r>
        <w:rPr>
          <w:b w:val="1"/>
          <w:bCs w:val="1"/>
        </w:rPr>
        <w:t xml:space="preserve">Quenneville v Audi &amp; Ors</w:t>
      </w:r>
    </w:p>
    <w:p>
      <w:pPr/>
      <w:r>
        <w:rPr/>
        <w:t xml:space="preserve">Acting in a Canadian class action regarding a cartel over the design and quality of German cars.</w:t>
      </w:r>
    </w:p>
    <w:p/>
    <w:p>
      <w:pPr/>
      <w:r>
        <w:rPr>
          <w:b w:val="1"/>
          <w:bCs w:val="1"/>
        </w:rPr>
        <w:t xml:space="preserve">David v Canada Bread Co &amp; Ors</w:t>
      </w:r>
    </w:p>
    <w:p>
      <w:pPr/>
      <w:r>
        <w:rPr/>
        <w:t xml:space="preserve">Acting in a Canadian class action regarding a horizontal and vertical bread price-fixing cartel.</w:t>
      </w:r>
    </w:p>
    <w:p/>
    <w:p>
      <w:pPr/>
      <w:r>
        <w:rPr>
          <w:b w:val="1"/>
          <w:bCs w:val="1"/>
        </w:rPr>
        <w:t xml:space="preserve">Uber Inc</w:t>
      </w:r>
    </w:p>
    <w:p>
      <w:pPr/>
      <w:r>
        <w:rPr/>
        <w:t xml:space="preserve">Acting in a Canadian class action regarding unlawful business practices.</w:t>
      </w:r>
    </w:p>
    <w:p/>
    <w:p>
      <w:pPr/>
      <w:r>
        <w:rPr>
          <w:b w:val="1"/>
          <w:bCs w:val="1"/>
        </w:rPr>
        <w:t xml:space="preserve">Amazon</w:t>
      </w:r>
    </w:p>
    <w:p>
      <w:pPr/>
      <w:r>
        <w:rPr/>
        <w:t xml:space="preserve">Acting in a Canadian class action regarding Amazon’s anticompetitive pricing policies.</w:t>
      </w:r>
    </w:p>
    <w:p/>
    <w:p>
      <w:pPr>
        <w:pStyle w:val="Heading2"/>
      </w:pPr>
      <w:bookmarkStart w:id="4" w:name="_Toc4"/>
      <w:r>
        <w:t>Expertise</w:t>
      </w:r>
      <w:bookmarkEnd w:id="4"/>
    </w:p>
    <w:p/>
    <w:p>
      <w:pPr>
        <w:pStyle w:val="Heading3"/>
      </w:pPr>
      <w:bookmarkStart w:id="5" w:name="_Toc5"/>
      <w:r>
        <w:t>Competition</w:t>
      </w:r>
      <w:bookmarkEnd w:id="5"/>
    </w:p>
    <w:p/>
    <w:p>
      <w:pPr>
        <w:pStyle w:val="Heading4"/>
      </w:pPr>
      <w:bookmarkStart w:id="6" w:name="_Toc6"/>
      <w:r>
        <w:t>Notable cases</w:t>
      </w:r>
      <w:bookmarkEnd w:id="6"/>
    </w:p>
    <w:p>
      <w:pPr/>
      <w:r>
        <w:rPr/>
        <w:t xml:space="preserve">Acting as a member of the board of experts advising Lord Currie (a former head of the CMA) in his capacity as director of the company bringing a £9.9 billion collective proceedings involving alleged competition law infringements over crypto-currency markets. This is the first competition law case involving crypto-currencies brought in the UK.</w:t>
      </w:r>
    </w:p>
    <w:p/>
    <w:p>
      <w:pPr/>
      <w:r>
        <w:rPr>
          <w:b w:val="1"/>
          <w:bCs w:val="1"/>
        </w:rPr>
        <w:t xml:space="preserve">Dune v Mastercard &amp; Dune v Visa (UK)</w:t>
      </w:r>
    </w:p>
    <w:p>
      <w:pPr/>
      <w:r>
        <w:rPr/>
        <w:t xml:space="preserve">Interchange fees.</w:t>
      </w:r>
    </w:p>
    <w:p/>
    <w:p>
      <w:pPr/>
      <w:r>
        <w:rPr>
          <w:b w:val="1"/>
          <w:bCs w:val="1"/>
        </w:rPr>
        <w:t xml:space="preserve">Quenneville v Audi &amp; Ors</w:t>
      </w:r>
    </w:p>
    <w:p>
      <w:pPr/>
      <w:r>
        <w:rPr/>
        <w:t xml:space="preserve">Cartel over the design and quality of German cars. (Canadian class action).</w:t>
      </w:r>
    </w:p>
    <w:p/>
    <w:p>
      <w:pPr/>
      <w:r>
        <w:rPr>
          <w:b w:val="1"/>
          <w:bCs w:val="1"/>
        </w:rPr>
        <w:t xml:space="preserve">David v Canada Bread Co &amp; Ors</w:t>
      </w:r>
    </w:p>
    <w:p>
      <w:pPr/>
      <w:r>
        <w:rPr/>
        <w:t xml:space="preserve">Horizontal and vertical bread price-fixing cartel. (Canadian class action).</w:t>
      </w:r>
    </w:p>
    <w:p/>
    <w:p>
      <w:pPr/>
      <w:r>
        <w:rPr>
          <w:b w:val="1"/>
          <w:bCs w:val="1"/>
        </w:rPr>
        <w:t xml:space="preserve">Uber Inc</w:t>
      </w:r>
    </w:p>
    <w:p>
      <w:pPr/>
      <w:r>
        <w:rPr/>
        <w:t xml:space="preserve">Unlawful business practices. (Canadian class action).</w:t>
      </w:r>
    </w:p>
    <w:p/>
    <w:p>
      <w:pPr/>
      <w:r>
        <w:rPr>
          <w:b w:val="1"/>
          <w:bCs w:val="1"/>
        </w:rPr>
        <w:t xml:space="preserve">Apple Inc</w:t>
      </w:r>
    </w:p>
    <w:p>
      <w:pPr/>
      <w:r>
        <w:rPr/>
        <w:t xml:space="preserve">Abuse of Dominance over contractual terms. (DoJ).</w:t>
      </w:r>
    </w:p>
    <w:p/>
    <w:p>
      <w:pPr/>
      <w:r>
        <w:rPr>
          <w:b w:val="1"/>
          <w:bCs w:val="1"/>
        </w:rPr>
        <w:t xml:space="preserve">Google Inc</w:t>
      </w:r>
    </w:p>
    <w:p>
      <w:pPr/>
      <w:r>
        <w:rPr/>
        <w:t xml:space="preserve">Abuse of Dominance over internet search. (DoJ).</w:t>
      </w:r>
    </w:p>
    <w:p/>
    <w:p>
      <w:pPr/>
      <w:r>
        <w:rPr>
          <w:b w:val="1"/>
          <w:bCs w:val="1"/>
        </w:rPr>
        <w:t xml:space="preserve">Aviscar Inc &amp; Ors</w:t>
      </w:r>
    </w:p>
    <w:p>
      <w:pPr/>
      <w:r>
        <w:rPr/>
        <w:t xml:space="preserve">Pricing misrepresentation. (DoJ).</w:t>
      </w:r>
    </w:p>
    <w:p/>
    <w:p>
      <w:pPr/>
      <w:r>
        <w:rPr>
          <w:b w:val="1"/>
          <w:bCs w:val="1"/>
        </w:rPr>
        <w:t xml:space="preserve">HarperCollins &amp; Ors</w:t>
      </w:r>
    </w:p>
    <w:p>
      <w:pPr/>
      <w:r>
        <w:rPr/>
        <w:t xml:space="preserve">Price-fixing over e-books. (DoJ).</w:t>
      </w:r>
    </w:p>
    <w:p/>
    <w:p>
      <w:pPr/>
      <w:r>
        <w:rPr>
          <w:b w:val="1"/>
          <w:bCs w:val="1"/>
        </w:rPr>
        <w:t xml:space="preserve">Air Canada &amp; United Airlines</w:t>
      </w:r>
    </w:p>
    <w:p>
      <w:pPr/>
      <w:r>
        <w:rPr/>
        <w:t xml:space="preserve">Unlawful co-ordination. (DoJ).</w:t>
      </w:r>
    </w:p>
    <w:p/>
    <w:p>
      <w:pPr/>
      <w:r>
        <w:rPr>
          <w:b w:val="1"/>
          <w:bCs w:val="1"/>
        </w:rPr>
        <w:t xml:space="preserve">Bell Canada &amp; Ors</w:t>
      </w:r>
    </w:p>
    <w:p>
      <w:pPr/>
      <w:r>
        <w:rPr/>
        <w:t xml:space="preserve">Deceptive marketing practices over mobile messaging services. (DoJ).</w:t>
      </w:r>
    </w:p>
    <w:p/>
    <w:p>
      <w:pPr/>
      <w:r>
        <w:rPr>
          <w:b w:val="1"/>
          <w:bCs w:val="1"/>
        </w:rPr>
        <w:t xml:space="preserve">Newfoundland &amp; Labrador v AbitibiBowater Inc, 2012 SCC 67</w:t>
      </w:r>
    </w:p>
    <w:p>
      <w:pPr/>
      <w:r>
        <w:rPr>
          <w:b w:val="1"/>
          <w:bCs w:val="1"/>
        </w:rPr>
        <w:t xml:space="preserve">Chiang (Trustee of) v Chiang (2010), 70 C.B.R. (5th) 123 (Ont. S.C.J.)</w:t>
      </w:r>
    </w:p>
    <w:p>
      <w:pPr/>
      <w:r>
        <w:rPr>
          <w:b w:val="1"/>
          <w:bCs w:val="1"/>
        </w:rPr>
        <w:t xml:space="preserve">Newfoundland &amp; Labrador v AbitibiBowater Inc (2010), 68 C.B.R. (5th) 57 (Que. C.A.)</w:t>
      </w:r>
    </w:p>
    <w:p>
      <w:pPr/>
      <w:r>
        <w:rPr>
          <w:b w:val="1"/>
          <w:bCs w:val="1"/>
        </w:rPr>
        <w:t xml:space="preserve">AbitibiBowater Inc (Re) (2010), 68 C.B.R. (5th) 1 (Que. S.C.)</w:t>
      </w:r>
    </w:p>
    <w:p>
      <w:pPr/>
      <w:r>
        <w:rPr>
          <w:b w:val="1"/>
          <w:bCs w:val="1"/>
        </w:rPr>
        <w:t xml:space="preserve">AbitibiBowater Inc (Re) (2010), 64 C.B.R. (5th) 189 (Que. S.C.)</w:t>
      </w:r>
    </w:p>
    <w:p>
      <w:pPr/>
      <w:r>
        <w:rPr>
          <w:b w:val="1"/>
          <w:bCs w:val="1"/>
        </w:rPr>
        <w:t xml:space="preserve">Le Maitre Ltd v Segeren (2009), 55 B.L.R. (4th) 123 (Ont. S.C.J.)</w:t>
      </w:r>
    </w:p>
    <w:p>
      <w:pPr/>
      <w:r>
        <w:rPr>
          <w:b w:val="1"/>
          <w:bCs w:val="1"/>
        </w:rPr>
        <w:t xml:space="preserve">Enernorth Industries Inc (Re) (2008), 92 O.R. (3d) 392 (Ont. S.C.J.)</w:t>
      </w:r>
    </w:p>
    <w:p>
      <w:pPr/>
      <w:r>
        <w:rPr>
          <w:b w:val="1"/>
          <w:bCs w:val="1"/>
        </w:rPr>
        <w:t xml:space="preserve">Enernorth Industries Inc (Re) (2008), 40 C.B.R. (5th) 274 (Ont. S.C. Bkrtpcy)</w:t>
      </w:r>
    </w:p>
    <w:p>
      <w:pPr/>
      <w:r>
        <w:rPr>
          <w:b w:val="1"/>
          <w:bCs w:val="1"/>
        </w:rPr>
        <w:t xml:space="preserve">Ravelston Corp Ltd (Re) (2007), 85 O.R. (3d) 175 (C.A.)</w:t>
      </w:r>
    </w:p>
    <w:p>
      <w:pPr/>
      <w:r>
        <w:rPr/>
        <w:t xml:space="preserve">Appeal of Receiver’s Approval of Plea Agreement.</w:t>
      </w:r>
    </w:p>
    <w:p/>
    <w:p>
      <w:pPr/>
      <w:r>
        <w:rPr>
          <w:b w:val="1"/>
          <w:bCs w:val="1"/>
        </w:rPr>
        <w:t xml:space="preserve">Ravelston Corp (Re) (2007), 29 C.B.R. (5th) 1 (Ont. S.C.J.)</w:t>
      </w:r>
    </w:p>
    <w:p>
      <w:pPr/>
      <w:r>
        <w:rPr/>
        <w:t xml:space="preserve">Approval of Plea Agreement.</w:t>
      </w:r>
    </w:p>
    <w:p/>
    <w:p>
      <w:pPr/>
      <w:r>
        <w:rPr>
          <w:b w:val="1"/>
          <w:bCs w:val="1"/>
        </w:rPr>
        <w:t xml:space="preserve">Oakwell Engineering Ltd v Enernorth Industries Inc (2006), 81 O.R. (3d) 288 (C.A.)</w:t>
      </w:r>
    </w:p>
    <w:p>
      <w:pPr/>
      <w:r>
        <w:rPr>
          <w:b w:val="1"/>
          <w:bCs w:val="1"/>
        </w:rPr>
        <w:t xml:space="preserve">Catalyst Fund General Partner I Inc v Hollinger Inc et al.; White v Hollinger Inc (2006), 266 D.L.R. (4th) 228 (O.C.A.)</w:t>
      </w:r>
    </w:p>
    <w:p>
      <w:pPr/>
      <w:r>
        <w:rPr>
          <w:b w:val="1"/>
          <w:bCs w:val="1"/>
        </w:rPr>
        <w:t xml:space="preserve">Terastar Realty Corp (Re) (2005), 16 C.B.R. (5th) 111 (Ont. S.C.J.)</w:t>
      </w:r>
    </w:p>
    <w:p>
      <w:pPr/>
      <w:r>
        <w:rPr>
          <w:b w:val="1"/>
          <w:bCs w:val="1"/>
        </w:rPr>
        <w:t xml:space="preserve">Oakwell Engineering Ltd v Enernorth Industries Inc (2005), 76 O.R. (3d) 528 (S.C.J.)</w:t>
      </w:r>
    </w:p>
    <w:p>
      <w:pPr/>
      <w:r>
        <w:rPr>
          <w:b w:val="1"/>
          <w:bCs w:val="1"/>
        </w:rPr>
        <w:t xml:space="preserve">Catalyst Fund General Partner I Inc v Hollinger Inc (2005), 8 B.L.R. (4th) 117 (Ont. S.C.J.)</w:t>
      </w:r>
    </w:p>
    <w:p>
      <w:pPr/>
      <w:r>
        <w:rPr>
          <w:b w:val="1"/>
          <w:bCs w:val="1"/>
        </w:rPr>
        <w:t xml:space="preserve">Catalyst Fund General Partner I Inc v Hollinger Inc (2005), 255 D.L.R. (4th) 233 (Ont. S.C.J.)</w:t>
      </w:r>
    </w:p>
    <w:p>
      <w:pPr/>
      <w:r>
        <w:rPr>
          <w:b w:val="1"/>
          <w:bCs w:val="1"/>
        </w:rPr>
        <w:t xml:space="preserve">Catalyst Fund General Partner I Inc v Hollinger Inc (2004), 1 B.L.R. (4th) 186 (Ont. S.C.J.)</w:t>
      </w:r>
    </w:p>
    <w:p>
      <w:pPr/>
      <w:r>
        <w:rPr>
          <w:b w:val="1"/>
          <w:bCs w:val="1"/>
        </w:rPr>
        <w:t xml:space="preserve">Hollinger International Inc v Hollinger Inc (2004), 11 C.P.C. (6th) 245</w:t>
      </w:r>
    </w:p>
    <w:p>
      <w:pPr/>
      <w:r>
        <w:rPr>
          <w:b w:val="1"/>
          <w:bCs w:val="1"/>
        </w:rPr>
        <w:t xml:space="preserve">Air Canada (Re) [Subordinated Debt] (2004), 2 C.B.R. (5th) 4 (Ont. S.C.)</w:t>
      </w:r>
    </w:p>
    <w:p>
      <w:pPr/>
      <w:r>
        <w:rPr>
          <w:b w:val="1"/>
          <w:bCs w:val="1"/>
        </w:rPr>
        <w:t xml:space="preserve">Christian Brothers of Ireland in Canada (Re) [Distribution Application] (2004), 69 O.R. (3d) 507 (S.C.J.)</w:t>
      </w:r>
    </w:p>
    <w:p>
      <w:pPr/>
      <w:r>
        <w:rPr>
          <w:b w:val="1"/>
          <w:bCs w:val="1"/>
        </w:rPr>
        <w:t xml:space="preserve">Corporacion Americana de Equipamientos Urbanos S.L. v Olifas Marketing Group Inc, et al. (2003), 66 O.R. (3d) 352 (S.C.J.)</w:t>
      </w:r>
    </w:p>
    <w:p>
      <w:pPr/>
      <w:r>
        <w:rPr>
          <w:b w:val="1"/>
          <w:bCs w:val="1"/>
        </w:rPr>
        <w:t xml:space="preserve">British Columbia (A-G) v Rowland et al., [2002] 9 W.W.R. 115 (B.C.S.C.)</w:t>
      </w:r>
    </w:p>
    <w:p>
      <w:pPr/>
      <w:r>
        <w:rPr>
          <w:b w:val="1"/>
          <w:bCs w:val="1"/>
        </w:rPr>
        <w:t xml:space="preserve">Elmford Construction Co. v South Winston Properties Inc (2001), 59 O.R. (3d) 111 (O.C.A.)</w:t>
      </w:r>
    </w:p>
    <w:p>
      <w:pPr/>
      <w:r>
        <w:rPr>
          <w:b w:val="1"/>
          <w:bCs w:val="1"/>
        </w:rPr>
        <w:t xml:space="preserve">Rowland v Vancouver College Ltd (2001), 205 D.L.R. (4th) 193 (B.C.C.A.), leave to appeal to S.C.C refused (2002), 211 D.L.R. (4th) vi</w:t>
      </w:r>
    </w:p>
    <w:p>
      <w:pPr/>
      <w:r>
        <w:rPr>
          <w:b w:val="1"/>
          <w:bCs w:val="1"/>
        </w:rPr>
        <w:t xml:space="preserve">Oulahen, Re (2001), 24 C.B.R. (4th) 119 (O.C.A.)</w:t>
      </w:r>
    </w:p>
    <w:p>
      <w:pPr/>
      <w:r>
        <w:rPr>
          <w:b w:val="1"/>
          <w:bCs w:val="1"/>
        </w:rPr>
        <w:t xml:space="preserve">Ontario Realty Corp v P. Gabriele &amp; Sons Ltd (2000), 50 C.P.C. (4th) 300</w:t>
      </w:r>
    </w:p>
    <w:p>
      <w:pPr/>
      <w:r>
        <w:rPr>
          <w:b w:val="1"/>
          <w:bCs w:val="1"/>
        </w:rPr>
        <w:t xml:space="preserve">Ontario Realty Corporation v P. Gabriele &amp; Sons Limited et al. (2000), 50 C.P.C. (4th) 278 (S.C.J.)</w:t>
      </w:r>
    </w:p>
    <w:p>
      <w:pPr/>
      <w:r>
        <w:rPr>
          <w:b w:val="1"/>
          <w:bCs w:val="1"/>
        </w:rPr>
        <w:t xml:space="preserve">Rowland v Vancouver College Ltd (2000), 78 B.C.L.R (3d) 87 (B.C.S.C.)</w:t>
      </w:r>
    </w:p>
    <w:p>
      <w:pPr/>
      <w:r>
        <w:rPr>
          <w:b w:val="1"/>
          <w:bCs w:val="1"/>
        </w:rPr>
        <w:t xml:space="preserve">Christian Brothers of Ireland in Canada (Re) [Use of Assets Application] (2000), 184 D.L.R. (4th) 445 (Ont. C.A.), leave to appeal to S.C.C. refused; [2000] S.C.C.A. No. 277</w:t>
      </w:r>
    </w:p>
    <w:p>
      <w:pPr/>
      <w:r>
        <w:rPr>
          <w:b w:val="1"/>
          <w:bCs w:val="1"/>
        </w:rPr>
        <w:t xml:space="preserve">Elmford Construction Co. v South Winston Properties Inc (1999), 45 O.R. (3d) 588 (S.C.J.), aff’d (2002) 59 O.R. (3d) 111n (C.A.)</w:t>
      </w:r>
    </w:p>
    <w:p>
      <w:pPr/>
      <w:r>
        <w:rPr>
          <w:b w:val="1"/>
          <w:bCs w:val="1"/>
        </w:rPr>
        <w:t xml:space="preserve">Switzer Estate v Scuba Shack Ltd (1998), 28 C.P.C. (4th) 283 (Ont. Gen. Div.)</w:t>
      </w:r>
    </w:p>
    <w:p>
      <w:pPr/>
      <w:r>
        <w:rPr>
          <w:b w:val="1"/>
          <w:bCs w:val="1"/>
        </w:rPr>
        <w:t xml:space="preserve">McColl v Gravenhurst (Town) (1998), 110 O.A.C. 386 (O.C.A.)</w:t>
      </w:r>
    </w:p>
    <w:p>
      <w:pPr/>
      <w:r>
        <w:rPr>
          <w:b w:val="1"/>
          <w:bCs w:val="1"/>
        </w:rPr>
        <w:t xml:space="preserve">Christian Brothers of Ireland in Canada (Re) [Advice and Directions] (1998), 37 O.R. (3d) 367 (Gen. Div.)</w:t>
      </w:r>
    </w:p>
    <w:p>
      <w:pPr/>
      <w:r>
        <w:rPr>
          <w:b w:val="1"/>
          <w:bCs w:val="1"/>
        </w:rPr>
        <w:t xml:space="preserve">(Y.) v Children’s Aid Society of Metropolitan Toronto (1998), 37 R.F.L. (4th) 381 (Ont. Gen. Div.)</w:t>
      </w:r>
    </w:p>
    <w:p>
      <w:pPr/>
      <w:r>
        <w:rPr>
          <w:b w:val="1"/>
          <w:bCs w:val="1"/>
        </w:rPr>
        <w:t xml:space="preserve">Bank of America National Trust &amp; Savings Assn. v Shefsky (1997), 4 C.B.R. (4th) 32 (Ont. Gen. Div.)</w:t>
      </w:r>
    </w:p>
    <w:p>
      <w:pPr/>
      <w:r>
        <w:rPr>
          <w:b w:val="1"/>
          <w:bCs w:val="1"/>
        </w:rPr>
        <w:t xml:space="preserve">Ballard v Stavro (1997), 38 O.T.C. 321 (Ont. Gen. Div.)</w:t>
      </w:r>
    </w:p>
    <w:p>
      <w:pPr/>
      <w:r>
        <w:rPr>
          <w:b w:val="1"/>
          <w:bCs w:val="1"/>
        </w:rPr>
        <w:t xml:space="preserve">Rosedale Realty Corp (Re) (1997), 33 O.R. (3d) 666 (Gen. Div.)</w:t>
      </w:r>
    </w:p>
    <w:p>
      <w:pPr/>
      <w:r>
        <w:rPr>
          <w:b w:val="1"/>
          <w:bCs w:val="1"/>
        </w:rPr>
        <w:t xml:space="preserve">1036029 Ontario Ltd v Crown Life Insurance Co. (1995), 64 C.P.R. (3d) 342 (Fed. Ct.)</w:t>
      </w:r>
    </w:p>
    <w:p>
      <w:pPr/>
      <w:r>
        <w:rPr>
          <w:b w:val="1"/>
          <w:bCs w:val="1"/>
        </w:rPr>
        <w:t xml:space="preserve">Ballard Estate (Re) (1994), 20 O.R. (3d) 189 (Gen. Div.)</w:t>
      </w:r>
    </w:p>
    <w:p>
      <w:pPr/>
      <w:r>
        <w:rPr>
          <w:b w:val="1"/>
          <w:bCs w:val="1"/>
        </w:rPr>
        <w:t xml:space="preserve">Public Safety Equipment Inc v W.S. Consultants Ltd (1993), 4 W.D.C.P. (2d) 388 (Ont. Gen. Div.)</w:t>
      </w:r>
    </w:p>
    <w:p>
      <w:pPr/>
      <w:r>
        <w:rPr>
          <w:b w:val="1"/>
          <w:bCs w:val="1"/>
        </w:rPr>
        <w:t xml:space="preserve">484030 Ontario Ltd (Re) (1992), 8 O.R. (3d) 243 (Bkrtpcy)</w:t>
      </w:r>
    </w:p>
    <w:p>
      <w:pPr/>
      <w:r>
        <w:rPr>
          <w:b w:val="1"/>
          <w:bCs w:val="1"/>
        </w:rPr>
        <w:t xml:space="preserve">Israel Discount Bank of Canada v Genova et al. (1992), 13 C.P.C. (3d) 104 (Gen. Div.)</w:t>
      </w:r>
    </w:p>
    <w:p>
      <w:pPr/>
      <w:r>
        <w:rPr>
          <w:b w:val="1"/>
          <w:bCs w:val="1"/>
        </w:rPr>
        <w:t xml:space="preserve">Region Plaza Inc v Hamilton-Wentworth et al. (1990), 12 O.R. (3d) 750 (H.C.J.)</w:t>
      </w:r>
    </w:p>
    <w:p>
      <w:pPr/>
      <w:r>
        <w:rPr>
          <w:b w:val="1"/>
          <w:bCs w:val="1"/>
        </w:rPr>
        <w:t xml:space="preserve">Theodore Holdings Ltd v Anjay Ltd (1990), 72 O.R. (2d) 645 (H.C.J.)</w:t>
      </w:r>
    </w:p>
    <w:p>
      <w:pPr/>
      <w:r>
        <w:rPr>
          <w:b w:val="1"/>
          <w:bCs w:val="1"/>
        </w:rPr>
        <w:t xml:space="preserve">Fobasco Ltd v Cogan et al. (1990), 72 O.R. (2d) 254 (H.C.J.)</w:t>
      </w:r>
    </w:p>
    <w:p>
      <w:pPr/>
      <w:r>
        <w:rPr>
          <w:b w:val="1"/>
          <w:bCs w:val="1"/>
        </w:rPr>
        <w:t xml:space="preserve">Ernted Investments Ltd v Toronto (City) (1989), 44 M.P.L.R. 173 (Ont. Dist. Ct.)</w:t>
      </w:r>
    </w:p>
    <w:p/>
    <w:p>
      <w:pPr>
        <w:pStyle w:val="Heading2"/>
      </w:pPr>
      <w:bookmarkStart w:id="7" w:name="_Toc7"/>
      <w:r>
        <w:t>Education</w:t>
      </w:r>
      <w:bookmarkEnd w:id="7"/>
    </w:p>
    <w:p>
      <w:pPr>
        <w:numPr>
          <w:ilvl w:val="0"/>
          <w:numId w:val="7"/>
        </w:numPr>
      </w:pPr>
      <w:r>
        <w:rPr/>
        <w:t xml:space="preserve">LL.B., Queen’s University (1986)</w:t>
      </w:r>
    </w:p>
    <w:p>
      <w:pPr>
        <w:numPr>
          <w:ilvl w:val="0"/>
          <w:numId w:val="7"/>
        </w:numPr>
      </w:pPr>
      <w:r>
        <w:rPr/>
        <w:t xml:space="preserve">M.A., University of Toronto (1983)</w:t>
      </w:r>
    </w:p>
    <w:p>
      <w:pPr>
        <w:numPr>
          <w:ilvl w:val="0"/>
          <w:numId w:val="7"/>
        </w:numPr>
      </w:pPr>
      <w:r>
        <w:rPr/>
        <w:t xml:space="preserve">B.A. (Hons), University College at the University of Toronto (1982)</w:t>
      </w:r>
    </w:p>
    <w:p/>
    <w:p>
      <w:pPr>
        <w:pStyle w:val="Heading2"/>
      </w:pPr>
      <w:bookmarkStart w:id="8" w:name="_Toc8"/>
      <w:r>
        <w:t>International Bar / Court Appointments</w:t>
      </w:r>
      <w:bookmarkEnd w:id="8"/>
    </w:p>
    <w:p>
      <w:pPr>
        <w:numPr>
          <w:ilvl w:val="0"/>
          <w:numId w:val="8"/>
        </w:numPr>
      </w:pPr>
      <w:r>
        <w:rPr/>
        <w:t xml:space="preserve">Attorney at Law (New York)</w:t>
      </w:r>
    </w:p>
    <w:p>
      <w:pPr>
        <w:numPr>
          <w:ilvl w:val="0"/>
          <w:numId w:val="8"/>
        </w:numPr>
      </w:pPr>
      <w:r>
        <w:rPr/>
        <w:t xml:space="preserve">Barrister and Solicitor (Ontario)</w:t>
      </w:r>
    </w:p>
    <w:p/>
    <w:p>
      <w:pPr>
        <w:pStyle w:val="Heading2"/>
      </w:pPr>
      <w:bookmarkStart w:id="9" w:name="_Toc9"/>
      <w:r>
        <w:t>Appointments, Memberships and Prizes</w:t>
      </w:r>
      <w:bookmarkEnd w:id="9"/>
    </w:p>
    <w:p>
      <w:pPr>
        <w:numPr>
          <w:ilvl w:val="0"/>
          <w:numId w:val="9"/>
        </w:numPr>
      </w:pPr>
      <w:r>
        <w:rPr/>
        <w:t xml:space="preserve">Middle Temple</w:t>
      </w:r>
    </w:p>
    <w:sectPr>
      <w:head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68pt; height:37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/>
    <w:r>
      <w:pict>
        <v:shape id="_x0000_s1002" type="#_x0000_t32" style="width:566.92913385827pt; height:0pt; margin-left:0pt; margin-top:0pt; mso-position-horizontal:left; mso-position-vertical:top; mso-position-horizontal-relative:char; mso-position-vertical-relative:line;">
          <w10:wrap type="inline"/>
          <v:stroke/>
        </v:shape>
      </w:pict>
    </w:r>
  </w:p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nsid w:val="D0EF1D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BE2F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929D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>
      <w:spacing w:after="150"/>
    </w:pPr>
    <w:rPr>
      <w:sz w:val="42"/>
      <w:szCs w:val="42"/>
      <w:b w:val="1"/>
      <w:bCs w:val="1"/>
    </w:rPr>
  </w:style>
  <w:style w:type="paragraph" w:styleId="Heading3">
    <w:link w:val="Heading3Char"/>
    <w:name w:val="heading 3"/>
    <w:basedOn w:val="Normal"/>
    <w:pPr>
      <w:spacing w:after="80"/>
    </w:pPr>
    <w:rPr>
      <w:sz w:val="38"/>
      <w:szCs w:val="38"/>
      <w:b w:val="1"/>
      <w:bCs w:val="1"/>
    </w:rPr>
  </w:style>
  <w:style w:type="paragraph" w:styleId="Heading4">
    <w:link w:val="Heading4Char"/>
    <w:name w:val="heading 4"/>
    <w:basedOn w:val="Normal"/>
    <w:pPr>
      <w:spacing w:after="20"/>
    </w:pPr>
    <w:rPr>
      <w:sz w:val="34"/>
      <w:szCs w:val="34"/>
      <w:b w:val="1"/>
      <w:bCs w:val="1"/>
    </w:rPr>
  </w:style>
  <w:style w:type="paragraph" w:styleId="Heading5">
    <w:link w:val="Heading5Char"/>
    <w:name w:val="heading 5"/>
    <w:basedOn w:val="Normal"/>
    <w:pPr>
      <w:spacing w:after="10"/>
    </w:pPr>
    <w:rPr>
      <w:sz w:val="30"/>
      <w:szCs w:val="30"/>
      <w:b w:val="1"/>
      <w:bCs w:val="1"/>
    </w:rPr>
  </w:style>
  <w:style w:type="paragraph" w:styleId="Heading6">
    <w:link w:val="Heading6Char"/>
    <w:name w:val="heading 6"/>
    <w:basedOn w:val="Normal"/>
    <w:pPr>
      <w:spacing w:after="5"/>
    </w:pPr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2026-10-22T23:46:38+00:00</dcterms:created>
  <dcterms:modified xsi:type="dcterms:W3CDTF">2026-10-22T23:46:38+00:00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