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Christopher Monaghan</w:t>
      </w:r>
      <w:bookmarkEnd w:id="1"/>
    </w:p>
    <w:tbl>
      <w:tblGrid>
        <w:gridCol w:w="1500" w:type="dxa"/>
        <w:gridCol w:w="4500" w:type="dxa"/>
      </w:tblGrid>
      <w:tr>
        <w:trPr/>
        <w:tc>
          <w:tcPr>
            <w:tcW w:w="1500" w:type="dxa"/>
          </w:tcPr>
          <w:p>
            <w:pPr/>
            <w:r>
              <w:rPr>
                <w:b w:val="1"/>
                <w:bCs w:val="1"/>
              </w:rPr>
              <w:t xml:space="preserve">Call</w:t>
            </w:r>
          </w:p>
        </w:tc>
        <w:tc>
          <w:tcPr>
            <w:tcW w:w="4500" w:type="dxa"/>
          </w:tcPr>
          <w:p>
            <w:pPr/>
            <w:r>
              <w:rPr/>
              <w:t xml:space="preserve">2021</w:t>
            </w:r>
          </w:p>
        </w:tc>
      </w:tr>
      <w:tr>
        <w:trPr/>
        <w:tc>
          <w:tcPr>
            <w:tcW w:w="1500" w:type="dxa"/>
          </w:tcPr>
          <w:p>
            <w:pPr/>
            <w:r>
              <w:rPr>
                <w:b w:val="1"/>
                <w:bCs w:val="1"/>
              </w:rPr>
              <w:t xml:space="preserve">Email</w:t>
            </w:r>
          </w:p>
        </w:tc>
        <w:tc>
          <w:tcPr>
            <w:tcW w:w="4500" w:type="dxa"/>
          </w:tcPr>
          <w:p>
            <w:pPr/>
            <w:r>
              <w:rPr/>
              <w:t xml:space="preserve">cjm@fountaincourt.co.uk</w:t>
            </w:r>
          </w:p>
        </w:tc>
      </w:tr>
      <w:tr>
        <w:trPr/>
        <w:tc>
          <w:tcPr>
            <w:tcW w:w="1500" w:type="dxa"/>
          </w:tcPr>
          <w:p>
            <w:pPr/>
            <w:r>
              <w:rPr>
                <w:b w:val="1"/>
                <w:bCs w:val="1"/>
              </w:rPr>
              <w:t xml:space="preserve">Telephone</w:t>
            </w:r>
          </w:p>
        </w:tc>
        <w:tc>
          <w:tcPr>
            <w:tcW w:w="4500" w:type="dxa"/>
          </w:tcPr>
          <w:p>
            <w:pPr/>
            <w:r>
              <w:rPr/>
              <w:t xml:space="preserve">+44 (0)20 7583 3335 </w:t>
            </w:r>
          </w:p>
        </w:tc>
      </w:tr>
    </w:tbl>
    <w:p/>
    <w:p>
      <w:pPr>
        <w:pStyle w:val="Heading2"/>
      </w:pPr>
      <w:bookmarkStart w:id="2" w:name="_Toc2"/>
      <w:r>
        <w:t>Overview</w:t>
      </w:r>
      <w:bookmarkEnd w:id="2"/>
    </w:p>
    <w:p>
      <w:pPr/>
      <w:r>
        <w:rPr/>
        <w:t xml:space="preserve">Christopher Monaghan has a busy commercial practice across chambers’ core areas, with a particular interest in matters relating to sport, insurance, banking, and regulatory issues. Much of his work involves issues relating to the conflict of laws.</w:t>
      </w:r>
    </w:p>
    <w:p>
      <w:pPr/>
      <w:r>
        <w:rPr/>
        <w:t xml:space="preserve">Christopher graduated first in his year at undergraduate level. Before coming to the Bar, Christopher completed the BCL at the University of Oxford and the LLM at Harvard Law School. He also worked as a full-time Judicial Assistant at the United States District Court, Central District of California. Alongside his practice, Christopher is a Teaching Fellow at University College London.</w:t>
      </w:r>
    </w:p>
    <w:p/>
    <w:p>
      <w:pPr>
        <w:pStyle w:val="Heading2"/>
      </w:pPr>
      <w:bookmarkStart w:id="3" w:name="_Toc3"/>
      <w:r>
        <w:t>Recent Highlights</w:t>
      </w:r>
      <w:bookmarkEnd w:id="3"/>
    </w:p>
    <w:p>
      <w:pPr/>
      <w:r>
        <w:rPr>
          <w:b w:val="1"/>
          <w:bCs w:val="1"/>
        </w:rPr>
        <w:t xml:space="preserve">Commission Recovery Ltd v Marks &amp; Clerk LLP and Long Acre Renewals [2024] EWCA Civ 9</w:t>
      </w:r>
    </w:p>
    <w:p>
      <w:pPr/>
      <w:r>
        <w:rPr/>
        <w:t xml:space="preserve">Acting (with Ben Valentin KC and Nico Leslie) for the claimant in relation to </w:t>
      </w:r>
      <w:r>
        <w:rPr/>
        <w:t xml:space="preserve">allegations that M&amp;C made referrals of clients to external renewal service providers without disclosing that M&amp;C or its related partnership were receiving secret commissions for the referral of that business.</w:t>
      </w:r>
      <w:r>
        <w:rPr/>
        <w:t xml:space="preserve"> The claim is brought on a representative basis further to CPR 19.8 and has been the subject of a leading case in this area which was determined in the claimant’s favour: </w:t>
      </w:r>
      <w:hyperlink r:id="rId7" w:history="1">
        <w:r>
          <w:rPr/>
          <w:t xml:space="preserve">[2024] EWCA Civ 9</w:t>
        </w:r>
      </w:hyperlink>
      <w:r>
        <w:rPr/>
        <w:t xml:space="preserve">.</w:t>
      </w:r>
    </w:p>
    <w:p/>
    <w:p>
      <w:pPr/>
      <w:r>
        <w:rPr>
          <w:b w:val="1"/>
          <w:bCs w:val="1"/>
        </w:rPr>
        <w:t xml:space="preserve">Matchroom Boxing Ltd v Boxxer Ltd and Sky UK Ltd</w:t>
      </w:r>
    </w:p>
    <w:p>
      <w:pPr/>
      <w:r>
        <w:rPr/>
        <w:t xml:space="preserve">Acting (with John Mehrzad KC) for Sky UK in respect of </w:t>
      </w:r>
      <w:r>
        <w:rPr/>
        <w:t xml:space="preserve">claims for breach of restrictive covenant in a commercial agreement</w:t>
      </w:r>
      <w:r>
        <w:rPr/>
        <w:t xml:space="preserve"> and exclusive matching rights provisions.</w:t>
      </w:r>
    </w:p>
    <w:p/>
    <w:p>
      <w:pPr/>
      <w:r>
        <w:rPr>
          <w:b w:val="1"/>
          <w:bCs w:val="1"/>
        </w:rPr>
        <w:t xml:space="preserve">Harrop v Skipton Building Society</w:t>
      </w:r>
    </w:p>
    <w:p>
      <w:pPr/>
      <w:r>
        <w:rPr/>
        <w:t xml:space="preserve">Acting (with Giles Wheeler KC) for the (successful) Respondent to an appeal which involved a challenge to settlements of </w:t>
      </w:r>
      <w:r>
        <w:rPr>
          <w:i w:val="1"/>
          <w:iCs w:val="1"/>
        </w:rPr>
        <w:t xml:space="preserve">Plevin</w:t>
      </w:r>
      <w:r>
        <w:rPr/>
        <w:t xml:space="preserve">-type undisclosed commission claims under s.140A of the Consumer Credit Act 1974 arising from the sale of a PPI policy. The Court of Appeal dismissed the appeal and provided important guidance both on the finality of settlement agreements in PPI claims and on the application of s.140A to settlement agreements: </w:t>
      </w:r>
      <w:hyperlink r:id="rId8" w:history="1">
        <w:r>
          <w:rPr/>
          <w:t xml:space="preserve">[2024] EWCA Civ 1106</w:t>
        </w:r>
      </w:hyperlink>
      <w:r>
        <w:rPr/>
        <w:t xml:space="preserve">.</w:t>
      </w:r>
    </w:p>
    <w:p/>
    <w:p>
      <w:pPr/>
      <w:r>
        <w:rPr>
          <w:b w:val="1"/>
          <w:bCs w:val="1"/>
        </w:rPr>
        <w:t xml:space="preserve">Louisa Mojela v Canmart Ltd and Akanda Corporation</w:t>
      </w:r>
    </w:p>
    <w:p>
      <w:pPr/>
      <w:r>
        <w:rPr/>
        <w:t xml:space="preserve">Acting (with Adam Tolley KC) in defending claims brought the claimant in respect of substantive payments due under a service agreement. Successfully defended an application for summary judgment brought by the claimant, which was resolved in the defendants’ favour: </w:t>
      </w:r>
      <w:hyperlink r:id="rId9" w:history="1">
        <w:r>
          <w:rPr/>
          <w:t xml:space="preserve">[2023] EWHC 2668 (Ch)</w:t>
        </w:r>
      </w:hyperlink>
      <w:r>
        <w:rPr/>
        <w:t xml:space="preserve">.</w:t>
      </w:r>
    </w:p>
    <w:p/>
    <w:p>
      <w:pPr/>
      <w:r>
        <w:rPr>
          <w:b w:val="1"/>
          <w:bCs w:val="1"/>
        </w:rPr>
        <w:t xml:space="preserve">Artcrafts International v MOU Limited</w:t>
      </w:r>
    </w:p>
    <w:p>
      <w:pPr/>
      <w:r>
        <w:rPr/>
        <w:t xml:space="preserve">Acting (with Adam Tolley KC) for the licensee of ‘MOU’ brand footwear in multiple contractual disputes with the licensor. Applications for interim injunctions determined in Artcrafts’ favour: [2022] EWHC 3511 (KB), </w:t>
      </w:r>
      <w:hyperlink r:id="rId10" w:history="1">
        <w:r>
          <w:rPr/>
          <w:t xml:space="preserve">[2024] EWHC 437 (KB)</w:t>
        </w:r>
      </w:hyperlink>
      <w:r>
        <w:rPr/>
        <w:t xml:space="preserve"> and </w:t>
      </w:r>
      <w:hyperlink r:id="rId11" w:history="1">
        <w:r>
          <w:rPr/>
          <w:t xml:space="preserve">[2024] EWHC 1558 (KB)</w:t>
        </w:r>
      </w:hyperlink>
      <w:r>
        <w:rPr/>
        <w:t xml:space="preserve">.</w:t>
      </w:r>
    </w:p>
    <w:p/>
    <w:p>
      <w:pPr>
        <w:pStyle w:val="Heading2"/>
      </w:pPr>
      <w:bookmarkStart w:id="4" w:name="_Toc4"/>
      <w:r>
        <w:t>Expertise</w:t>
      </w:r>
      <w:bookmarkEnd w:id="4"/>
    </w:p>
    <w:p/>
    <w:p>
      <w:pPr>
        <w:pStyle w:val="Heading3"/>
      </w:pPr>
      <w:bookmarkStart w:id="5" w:name="_Toc5"/>
      <w:r>
        <w:t>Administrative &amp; Public Law</w:t>
      </w:r>
      <w:bookmarkEnd w:id="5"/>
    </w:p>
    <w:p/>
    <w:p>
      <w:pPr>
        <w:pStyle w:val="Heading4"/>
      </w:pPr>
      <w:bookmarkStart w:id="6" w:name="_Toc6"/>
      <w:r>
        <w:t>Notable cases</w:t>
      </w:r>
      <w:bookmarkEnd w:id="6"/>
    </w:p>
    <w:p>
      <w:pPr/>
      <w:r>
        <w:rPr/>
        <w:t xml:space="preserve">Advising on a potential judicial review application relating to the acts of a local authority.</w:t>
      </w:r>
    </w:p>
    <w:p/>
    <w:p>
      <w:pPr/>
      <w:r>
        <w:rPr/>
        <w:t xml:space="preserve">Assisting (during pupillage) with advice on a potential review application concerning the impact of an entity’s conduct on an individual’s human rights under the Human Rights Act.</w:t>
      </w:r>
    </w:p>
    <w:p/>
    <w:p>
      <w:pPr/>
      <w:r>
        <w:rPr/>
        <w:t xml:space="preserve">Assisting (during pupillage) with an application to bring a representative claim under CPR 19.4 for class action litigation and advice on the effects of the Supreme Court decision in </w:t>
      </w:r>
      <w:r>
        <w:rPr>
          <w:i w:val="1"/>
          <w:iCs w:val="1"/>
        </w:rPr>
        <w:t xml:space="preserve">Google LLC v Lloyd</w:t>
      </w:r>
      <w:r>
        <w:rPr/>
        <w:t xml:space="preserve"> [2021] UKSC 50; [2021] 3 W.L.R. 1268.</w:t>
      </w:r>
    </w:p>
    <w:p/>
    <w:p>
      <w:pPr>
        <w:pStyle w:val="Heading3"/>
      </w:pPr>
      <w:bookmarkStart w:id="7" w:name="_Toc7"/>
      <w:r>
        <w:t>Art &amp; Cultural Property</w:t>
      </w:r>
      <w:bookmarkEnd w:id="7"/>
    </w:p>
    <w:p/>
    <w:p>
      <w:pPr>
        <w:pStyle w:val="Heading4"/>
      </w:pPr>
      <w:bookmarkStart w:id="8" w:name="_Toc8"/>
      <w:r>
        <w:t>Notable cases</w:t>
      </w:r>
      <w:bookmarkEnd w:id="8"/>
    </w:p>
    <w:p>
      <w:pPr/>
      <w:r>
        <w:rPr/>
        <w:t xml:space="preserve">Assisting (during pupillage) with advice on an insurance dispute involving high value artwork that was damaged during restoration.</w:t>
      </w:r>
    </w:p>
    <w:p/>
    <w:p>
      <w:pPr>
        <w:pStyle w:val="Heading3"/>
      </w:pPr>
      <w:bookmarkStart w:id="9" w:name="_Toc9"/>
      <w:r>
        <w:t>Aviation &amp; Travel</w:t>
      </w:r>
      <w:bookmarkEnd w:id="9"/>
    </w:p>
    <w:p/>
    <w:p>
      <w:pPr>
        <w:pStyle w:val="Heading4"/>
      </w:pPr>
      <w:bookmarkStart w:id="10" w:name="_Toc10"/>
      <w:r>
        <w:t>Notable cases</w:t>
      </w:r>
      <w:bookmarkEnd w:id="10"/>
    </w:p>
    <w:p>
      <w:pPr/>
      <w:r>
        <w:rPr/>
        <w:t xml:space="preserve">Assisting (during pupillage) with advice in relation to multiple aircraft leases and follow-on sales.</w:t>
      </w:r>
    </w:p>
    <w:p/>
    <w:p>
      <w:pPr/>
      <w:r>
        <w:rPr/>
        <w:t xml:space="preserve">Assisting with research and advice concerning liability arising from breaches of an aircraft purchase agreement (as a pupil).</w:t>
      </w:r>
    </w:p>
    <w:p/>
    <w:p>
      <w:pPr/>
      <w:r>
        <w:rPr/>
        <w:t xml:space="preserve">Assisting with advice on aircraft insurance policies and whether the policies respond to event arising from the Ukraine war (as a pupil).</w:t>
      </w:r>
    </w:p>
    <w:p/>
    <w:p>
      <w:pPr/>
      <w:r>
        <w:rPr/>
        <w:t xml:space="preserve">Assisting with drafting skeleton arguments for trial on a dispute arising between an airline and supplier (as a pupil).</w:t>
      </w:r>
    </w:p>
    <w:p/>
    <w:p>
      <w:pPr>
        <w:pStyle w:val="Heading3"/>
      </w:pPr>
      <w:bookmarkStart w:id="11" w:name="_Toc11"/>
      <w:r>
        <w:t>Banking &amp; Finance</w:t>
      </w:r>
      <w:bookmarkEnd w:id="11"/>
    </w:p>
    <w:p/>
    <w:p>
      <w:pPr>
        <w:pStyle w:val="Heading4"/>
      </w:pPr>
      <w:bookmarkStart w:id="12" w:name="_Toc12"/>
      <w:r>
        <w:t>Notable cases</w:t>
      </w:r>
      <w:bookmarkEnd w:id="12"/>
    </w:p>
    <w:p>
      <w:pPr/>
      <w:r>
        <w:rPr/>
        <w:t xml:space="preserve">Assisting (during pupillage) with trial preparation for a dispute arising from breaches of an ISDA Master Agreement.</w:t>
      </w:r>
    </w:p>
    <w:p/>
    <w:p>
      <w:pPr/>
      <w:r>
        <w:rPr/>
        <w:t xml:space="preserve">Assisting (during pupillage) with drafting pleadings for a dispute related to foreign exchange swap contracts.</w:t>
      </w:r>
    </w:p>
    <w:p/>
    <w:p>
      <w:pPr/>
      <w:r>
        <w:rPr/>
        <w:t xml:space="preserve">Assisting (during pupillage) with research and hearing preparation for issues concerning a swaps transaction with an Italian local authority and associated conflict of laws issues.</w:t>
      </w:r>
    </w:p>
    <w:p/>
    <w:p>
      <w:pPr>
        <w:pStyle w:val="Heading3"/>
      </w:pPr>
      <w:bookmarkStart w:id="13" w:name="_Toc13"/>
      <w:r>
        <w:t>Civil Fraud</w:t>
      </w:r>
      <w:bookmarkEnd w:id="13"/>
    </w:p>
    <w:p/>
    <w:p>
      <w:pPr>
        <w:pStyle w:val="Heading4"/>
      </w:pPr>
      <w:bookmarkStart w:id="14" w:name="_Toc14"/>
      <w:r>
        <w:t>Notable cases</w:t>
      </w:r>
      <w:bookmarkEnd w:id="14"/>
    </w:p>
    <w:p>
      <w:pPr/>
      <w:r>
        <w:rPr/>
        <w:t xml:space="preserve">Assisting with a party’s application for an order to produce documents under the </w:t>
      </w:r>
      <w:r>
        <w:rPr>
          <w:i w:val="1"/>
          <w:iCs w:val="1"/>
        </w:rPr>
        <w:t xml:space="preserve">Norwich Pharmacal</w:t>
      </w:r>
      <w:r>
        <w:rPr/>
        <w:t xml:space="preserve"> jurisdiction (as a pupil).</w:t>
      </w:r>
    </w:p>
    <w:p/>
    <w:p>
      <w:pPr/>
      <w:r>
        <w:rPr/>
        <w:t xml:space="preserve">Assisting with research and advice on issues concerning a large scale fraud by the company’s previous directors and auditor (as a pupil).</w:t>
      </w:r>
    </w:p>
    <w:p/>
    <w:p>
      <w:pPr>
        <w:pStyle w:val="Heading3"/>
      </w:pPr>
      <w:bookmarkStart w:id="15" w:name="_Toc15"/>
      <w:r>
        <w:t>Company, Restructuring &amp; Insolvency</w:t>
      </w:r>
      <w:bookmarkEnd w:id="15"/>
    </w:p>
    <w:p/>
    <w:p>
      <w:pPr>
        <w:pStyle w:val="Heading4"/>
      </w:pPr>
      <w:bookmarkStart w:id="16" w:name="_Toc16"/>
      <w:r>
        <w:t>Notable cases</w:t>
      </w:r>
      <w:bookmarkEnd w:id="16"/>
    </w:p>
    <w:p>
      <w:pPr/>
      <w:r>
        <w:rPr/>
        <w:t xml:space="preserve">Assisting (as a pupil) with advice in relation to the effect of the Insolvency Act 1986 on contractual termination rights upon the insolvency of a company.</w:t>
      </w:r>
    </w:p>
    <w:p/>
    <w:p>
      <w:pPr/>
      <w:r>
        <w:rPr/>
        <w:t xml:space="preserve">Assisting (as a pupil) with research and advice concerning the treatment of preferential creditors under the Insolvency Act 1986.</w:t>
      </w:r>
    </w:p>
    <w:p/>
    <w:p>
      <w:pPr/>
      <w:r>
        <w:rPr/>
        <w:t xml:space="preserve">Assisting (as a pupil) with trial preparation for a dispute concerning the exercise of call and put options under a share purchase agreement.</w:t>
      </w:r>
    </w:p>
    <w:p/>
    <w:p>
      <w:pPr/>
      <w:r>
        <w:rPr/>
        <w:t xml:space="preserve">Assisting (as a pupil) with drafting written opening submissions for a trial concerning the alleged undervaluation of shares purchased pursuant to a share purchase agreement.</w:t>
      </w:r>
    </w:p>
    <w:p/>
    <w:p>
      <w:pPr>
        <w:pStyle w:val="Heading3"/>
      </w:pPr>
      <w:bookmarkStart w:id="17" w:name="_Toc17"/>
      <w:r>
        <w:t>Financial Services</w:t>
      </w:r>
      <w:bookmarkEnd w:id="17"/>
    </w:p>
    <w:p/>
    <w:p>
      <w:pPr>
        <w:pStyle w:val="Heading4"/>
      </w:pPr>
      <w:bookmarkStart w:id="18" w:name="_Toc18"/>
      <w:r>
        <w:t>Notable cases</w:t>
      </w:r>
      <w:bookmarkEnd w:id="18"/>
    </w:p>
    <w:p>
      <w:pPr/>
      <w:r>
        <w:rPr/>
        <w:t xml:space="preserve">Assisting (as a pupil) with drafting advice concerning the treatment of fines levied by the Financial Reporting Council.</w:t>
      </w:r>
    </w:p>
    <w:p/>
    <w:p>
      <w:pPr/>
      <w:r>
        <w:rPr/>
        <w:t xml:space="preserve">Assisting (as a pupil) with drafting advice on the Money Laundering, Terrorist Financing and Transfer of Funds Regulations 2017 and whether a company was required to register with HMRC.</w:t>
      </w:r>
    </w:p>
    <w:p/>
    <w:p>
      <w:pPr>
        <w:pStyle w:val="Heading3"/>
      </w:pPr>
      <w:bookmarkStart w:id="19" w:name="_Toc19"/>
      <w:r>
        <w:t>Insurance &amp;amp; Reinsurance</w:t>
      </w:r>
      <w:bookmarkEnd w:id="19"/>
    </w:p>
    <w:p/>
    <w:p>
      <w:pPr>
        <w:pStyle w:val="Heading4"/>
      </w:pPr>
      <w:bookmarkStart w:id="20" w:name="_Toc20"/>
      <w:r>
        <w:t>Notable cases</w:t>
      </w:r>
      <w:bookmarkEnd w:id="20"/>
    </w:p>
    <w:p>
      <w:pPr/>
      <w:r>
        <w:rPr/>
        <w:t xml:space="preserve">Assisting (during pupillage) with advice on business interruption policies responding to COVID-19-related losses.</w:t>
      </w:r>
    </w:p>
    <w:p/>
    <w:p>
      <w:pPr/>
      <w:r>
        <w:rPr/>
        <w:t xml:space="preserve">Assisting (during pupillage) with advice on aviation insurance policies from events arising from the Ukraine war.</w:t>
      </w:r>
    </w:p>
    <w:p/>
    <w:p>
      <w:pPr/>
      <w:r>
        <w:rPr/>
        <w:t xml:space="preserve">Assisting (during pupillage) with advice on D&amp;O cover concerning with an insurance policy responds to fines levied by a regulator.</w:t>
      </w:r>
    </w:p>
    <w:p/>
    <w:p>
      <w:pPr>
        <w:pStyle w:val="Heading3"/>
      </w:pPr>
      <w:bookmarkStart w:id="21" w:name="_Toc21"/>
      <w:r>
        <w:t>International Arbitration</w:t>
      </w:r>
      <w:bookmarkEnd w:id="21"/>
    </w:p>
    <w:p/>
    <w:p>
      <w:pPr>
        <w:pStyle w:val="Heading4"/>
      </w:pPr>
      <w:bookmarkStart w:id="22" w:name="_Toc22"/>
      <w:r>
        <w:t>Notable cases</w:t>
      </w:r>
      <w:bookmarkEnd w:id="22"/>
    </w:p>
    <w:p>
      <w:pPr/>
      <w:r>
        <w:rPr/>
        <w:t xml:space="preserve">Assisting (during pupillage) with research on contractual discretion clauses for international arbitration proceedings.</w:t>
      </w:r>
    </w:p>
    <w:p/>
    <w:p>
      <w:pPr>
        <w:pStyle w:val="Heading3"/>
      </w:pPr>
      <w:bookmarkStart w:id="23" w:name="_Toc23"/>
      <w:r>
        <w:t>Privilege, Confidentiality &amp; Conflicts of Interest</w:t>
      </w:r>
      <w:bookmarkEnd w:id="23"/>
    </w:p>
    <w:p/>
    <w:p>
      <w:pPr>
        <w:pStyle w:val="Heading4"/>
      </w:pPr>
      <w:bookmarkStart w:id="24" w:name="_Toc24"/>
      <w:r>
        <w:t>Notable cases</w:t>
      </w:r>
      <w:bookmarkEnd w:id="24"/>
    </w:p>
    <w:p>
      <w:pPr/>
      <w:r>
        <w:rPr/>
        <w:t xml:space="preserve">Assisting (during pupillage) with research and advice on privilege issues arising from an ATE insurance policy.</w:t>
      </w:r>
    </w:p>
    <w:p/>
    <w:p>
      <w:pPr>
        <w:pStyle w:val="Heading3"/>
      </w:pPr>
      <w:bookmarkStart w:id="25" w:name="_Toc25"/>
      <w:r>
        <w:t>Professional Discipline</w:t>
      </w:r>
      <w:bookmarkEnd w:id="25"/>
    </w:p>
    <w:p/>
    <w:p>
      <w:pPr>
        <w:pStyle w:val="Heading4"/>
      </w:pPr>
      <w:bookmarkStart w:id="26" w:name="_Toc26"/>
      <w:r>
        <w:t>Notable cases</w:t>
      </w:r>
      <w:bookmarkEnd w:id="26"/>
    </w:p>
    <w:p>
      <w:pPr/>
      <w:r>
        <w:rPr/>
        <w:t xml:space="preserve">Assisting (during pupillage) with drafting a skeleton argument in preparation for a regulatory hearing conducted by the SRA.</w:t>
      </w:r>
    </w:p>
    <w:p/>
    <w:p>
      <w:pPr>
        <w:pStyle w:val="Heading3"/>
      </w:pPr>
      <w:bookmarkStart w:id="27" w:name="_Toc27"/>
      <w:r>
        <w:t>Professional Negligence</w:t>
      </w:r>
      <w:bookmarkEnd w:id="27"/>
    </w:p>
    <w:p/>
    <w:p>
      <w:pPr>
        <w:pStyle w:val="Heading4"/>
      </w:pPr>
      <w:bookmarkStart w:id="28" w:name="_Toc28"/>
      <w:r>
        <w:t>Notable cases</w:t>
      </w:r>
      <w:bookmarkEnd w:id="28"/>
    </w:p>
    <w:p>
      <w:pPr/>
      <w:r>
        <w:rPr/>
        <w:t xml:space="preserve">Assisting (during pupillage) with drafting advice concerning the potential professional negligence of a firm when it provided legal advice.</w:t>
      </w:r>
    </w:p>
    <w:p/>
    <w:p>
      <w:pPr/>
      <w:r>
        <w:rPr/>
        <w:t xml:space="preserve">Assisting (during pupillage) with research and advice in relation to the correctness of historical legal advice given to a company.</w:t>
      </w:r>
    </w:p>
    <w:p/>
    <w:p>
      <w:pPr>
        <w:pStyle w:val="Heading3"/>
      </w:pPr>
      <w:bookmarkStart w:id="29" w:name="_Toc29"/>
      <w:r>
        <w:t>Sports</w:t>
      </w:r>
      <w:bookmarkEnd w:id="29"/>
    </w:p>
    <w:p/>
    <w:p>
      <w:pPr>
        <w:pStyle w:val="Heading4"/>
      </w:pPr>
      <w:bookmarkStart w:id="30" w:name="_Toc30"/>
      <w:r>
        <w:t>Notable cases</w:t>
      </w:r>
      <w:bookmarkEnd w:id="30"/>
    </w:p>
    <w:p>
      <w:pPr/>
      <w:r>
        <w:rPr/>
        <w:t xml:space="preserve">Drafted advice for a premier league football club concerning a potential judicial review application.</w:t>
      </w:r>
    </w:p>
    <w:p/>
    <w:p>
      <w:pPr/>
      <w:r>
        <w:rPr/>
        <w:t xml:space="preserve">Seeking urgent injunctive relief against the British Boxing Board of Control, including producing advice on the court’s supervisory jurisdiction over sport governing bodies.</w:t>
      </w:r>
    </w:p>
    <w:p/>
    <w:p>
      <w:pPr/>
      <w:r>
        <w:rPr/>
        <w:t xml:space="preserve">Advising a Premier League football club in respect of the FIFA Stadium Safety and Security Regulations, FA Crowd Management Measures and the Sports Grounds Safety Authority.</w:t>
      </w:r>
    </w:p>
    <w:p/>
    <w:p>
      <w:pPr/>
      <w:r>
        <w:rPr/>
        <w:t xml:space="preserve">Advising a Premier League football club concerning a judicial review application.</w:t>
      </w:r>
    </w:p>
    <w:p/>
    <w:p>
      <w:pPr/>
      <w:r>
        <w:rPr/>
        <w:t xml:space="preserve">Advising sports professionals (including a World Boxing Association titleholder) in relation to Anti-Doping Regulations and the potential impact on their licences.</w:t>
      </w:r>
    </w:p>
    <w:p/>
    <w:p>
      <w:pPr>
        <w:pStyle w:val="Heading2"/>
      </w:pPr>
      <w:bookmarkStart w:id="31" w:name="_Toc31"/>
      <w:r>
        <w:t>Education</w:t>
      </w:r>
      <w:bookmarkEnd w:id="31"/>
    </w:p>
    <w:p>
      <w:pPr>
        <w:numPr>
          <w:ilvl w:val="0"/>
          <w:numId w:val="7"/>
        </w:numPr>
      </w:pPr>
      <w:r>
        <w:rPr/>
        <w:t xml:space="preserve">Harvard Law School: LLM</w:t>
      </w:r>
    </w:p>
    <w:p>
      <w:pPr>
        <w:numPr>
          <w:ilvl w:val="0"/>
          <w:numId w:val="7"/>
        </w:numPr>
      </w:pPr>
      <w:r>
        <w:rPr/>
        <w:t xml:space="preserve">City Law School: BPTC</w:t>
      </w:r>
    </w:p>
    <w:p>
      <w:pPr>
        <w:numPr>
          <w:ilvl w:val="0"/>
          <w:numId w:val="7"/>
        </w:numPr>
      </w:pPr>
      <w:r>
        <w:rPr/>
        <w:t xml:space="preserve">University of Oxford: BCL</w:t>
      </w:r>
    </w:p>
    <w:p>
      <w:pPr>
        <w:numPr>
          <w:ilvl w:val="0"/>
          <w:numId w:val="7"/>
        </w:numPr>
      </w:pPr>
      <w:r>
        <w:rPr/>
        <w:t xml:space="preserve">Queen’s University Belfast: LLB</w:t>
      </w:r>
    </w:p>
    <w:p/>
    <w:p>
      <w:pPr>
        <w:pStyle w:val="Heading2"/>
      </w:pPr>
      <w:bookmarkStart w:id="32" w:name="_Toc32"/>
      <w:r>
        <w:t>Appointments, Memberships and Prizes</w:t>
      </w:r>
      <w:bookmarkEnd w:id="32"/>
    </w:p>
    <w:p>
      <w:pPr>
        <w:numPr>
          <w:ilvl w:val="0"/>
          <w:numId w:val="8"/>
        </w:numPr>
      </w:pPr>
      <w:r>
        <w:rPr/>
        <w:t xml:space="preserve">Harvard Law School: LLM Scholarship</w:t>
      </w:r>
    </w:p>
    <w:p>
      <w:pPr>
        <w:numPr>
          <w:ilvl w:val="0"/>
          <w:numId w:val="8"/>
        </w:numPr>
      </w:pPr>
      <w:r>
        <w:rPr/>
        <w:t xml:space="preserve">Lincoln’s Inn: Lord Denning Scholarship</w:t>
      </w:r>
    </w:p>
    <w:p>
      <w:pPr>
        <w:numPr>
          <w:ilvl w:val="0"/>
          <w:numId w:val="8"/>
        </w:numPr>
      </w:pPr>
      <w:r>
        <w:rPr/>
        <w:t xml:space="preserve">City Law School: BPTC Scholarship</w:t>
      </w:r>
    </w:p>
    <w:p>
      <w:pPr>
        <w:numPr>
          <w:ilvl w:val="0"/>
          <w:numId w:val="8"/>
        </w:numPr>
      </w:pPr>
      <w:r>
        <w:rPr/>
        <w:t xml:space="preserve">University of Oxford: BCL Scholarship</w:t>
      </w:r>
    </w:p>
    <w:p>
      <w:pPr>
        <w:numPr>
          <w:ilvl w:val="0"/>
          <w:numId w:val="8"/>
        </w:numPr>
      </w:pPr>
      <w:r>
        <w:rPr/>
        <w:t xml:space="preserve">Queen’s University Belfast: McKane Medal for graduating first in class, Lord Lowry Prizes for obtaining highest marks in Years 1, 2 &amp; 3 and prizes for achieving the highest marks in Contract Law, Tort Law and Land Law.</w:t>
      </w:r>
    </w:p>
    <w:sectPr>
      <w:headerReference w:type="default" r:id="rId12"/>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1AB9A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3421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ailii.org/ew/cases/EWCA/Civ/2024/9.html" TargetMode="External"/><Relationship Id="rId8" Type="http://schemas.openxmlformats.org/officeDocument/2006/relationships/hyperlink" Target="https://www.bailii.org/ew/cases/EWCA/Civ/2024/1106.html" TargetMode="External"/><Relationship Id="rId9" Type="http://schemas.openxmlformats.org/officeDocument/2006/relationships/hyperlink" Target="https://www.bailii.org/ew/cases/EWHC/Ch/2023/2668.html" TargetMode="External"/><Relationship Id="rId10" Type="http://schemas.openxmlformats.org/officeDocument/2006/relationships/hyperlink" Target="https://www.bailii.org/ew/cases/EWHC/KB/2024/437.html" TargetMode="External"/><Relationship Id="rId11" Type="http://schemas.openxmlformats.org/officeDocument/2006/relationships/hyperlink" Target="https://knyvet.bailii.org/ew/cases/EWHC/KB/2024/1558.html" TargetMode="External"/><Relationship Id="rId1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2026-10-20T10:55:18+00:00</dcterms:created>
  <dcterms:modified xsi:type="dcterms:W3CDTF">2026-10-20T10:55:18+00:00</dcterms:modified>
</cp:coreProperties>
</file>

<file path=docProps/custom.xml><?xml version="1.0" encoding="utf-8"?>
<Properties xmlns="http://schemas.openxmlformats.org/officeDocument/2006/custom-properties" xmlns:vt="http://schemas.openxmlformats.org/officeDocument/2006/docPropsVTypes"/>
</file>